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F30" w:rsidRPr="009E2EEF" w:rsidRDefault="008B4F30" w:rsidP="007E6A5D">
      <w:pPr>
        <w:spacing w:after="60"/>
        <w:jc w:val="both"/>
        <w:rPr>
          <w:noProof/>
          <w:lang w:val="fr-CH"/>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1in;width:595.5pt;height:171pt;z-index:-251658240" wrapcoords="-27 0 -27 21505 21600 21505 21600 0 -27 0">
            <v:imagedata r:id="rId7" o:title=""/>
            <w10:wrap type="tight" side="left"/>
          </v:shape>
        </w:pict>
      </w:r>
    </w:p>
    <w:p w:rsidR="008B4F30" w:rsidRPr="009E2EEF" w:rsidRDefault="008B4F30" w:rsidP="007E6A5D">
      <w:pPr>
        <w:spacing w:after="60"/>
        <w:jc w:val="both"/>
        <w:rPr>
          <w:noProof/>
          <w:lang w:val="fr-CH"/>
        </w:rPr>
        <w:sectPr w:rsidR="008B4F30" w:rsidRPr="009E2EEF" w:rsidSect="00480A0C">
          <w:footerReference w:type="even" r:id="rId8"/>
          <w:footerReference w:type="default" r:id="rId9"/>
          <w:type w:val="continuous"/>
          <w:pgSz w:w="11906" w:h="16838" w:code="9"/>
          <w:pgMar w:top="1418" w:right="1134" w:bottom="1418" w:left="1134" w:header="709" w:footer="709" w:gutter="0"/>
          <w:cols w:space="369"/>
          <w:docGrid w:linePitch="360"/>
        </w:sectPr>
      </w:pPr>
    </w:p>
    <w:p w:rsidR="008B4F30" w:rsidRPr="009E2EEF" w:rsidRDefault="008B4F30" w:rsidP="00203077">
      <w:pPr>
        <w:pStyle w:val="Title"/>
        <w:rPr>
          <w:rFonts w:ascii="Book Antiqua" w:hAnsi="Book Antiqua"/>
          <w:i/>
          <w:color w:val="663300"/>
          <w:sz w:val="36"/>
          <w:szCs w:val="36"/>
        </w:rPr>
      </w:pPr>
      <w:r w:rsidRPr="009E2EEF">
        <w:rPr>
          <w:rFonts w:ascii="Book Antiqua" w:hAnsi="Book Antiqua"/>
          <w:i/>
          <w:color w:val="663300"/>
          <w:sz w:val="36"/>
          <w:szCs w:val="36"/>
        </w:rPr>
        <w:t>Projet Haute Intensité de Main d’Oeuvre (HIMO) communal Madagascar</w:t>
      </w:r>
    </w:p>
    <w:p w:rsidR="008B4F30" w:rsidRPr="009E2EEF" w:rsidRDefault="008B4F30" w:rsidP="007E6A5D">
      <w:pPr>
        <w:spacing w:after="60"/>
        <w:jc w:val="both"/>
        <w:rPr>
          <w:noProof/>
          <w:lang w:val="fr-CH"/>
        </w:rPr>
      </w:pPr>
    </w:p>
    <w:p w:rsidR="008B4F30" w:rsidRPr="009E2EEF" w:rsidRDefault="008B4F30" w:rsidP="007E6A5D">
      <w:pPr>
        <w:spacing w:after="60"/>
        <w:jc w:val="both"/>
        <w:rPr>
          <w:noProof/>
          <w:lang w:val="fr-CH"/>
        </w:rPr>
        <w:sectPr w:rsidR="008B4F30" w:rsidRPr="009E2EEF" w:rsidSect="00E2097B">
          <w:type w:val="continuous"/>
          <w:pgSz w:w="11906" w:h="16838"/>
          <w:pgMar w:top="1134" w:right="1134" w:bottom="1134" w:left="1134" w:header="709" w:footer="709" w:gutter="0"/>
          <w:cols w:space="369"/>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1"/>
      </w:tblGrid>
      <w:tr w:rsidR="008B4F30" w:rsidRPr="009E2EEF">
        <w:tc>
          <w:tcPr>
            <w:tcW w:w="4751" w:type="dxa"/>
            <w:shd w:val="clear" w:color="auto" w:fill="81562B"/>
          </w:tcPr>
          <w:p w:rsidR="008B4F30" w:rsidRPr="009E2EEF" w:rsidRDefault="008B4F30" w:rsidP="00A376E6">
            <w:pPr>
              <w:spacing w:before="60" w:after="60"/>
              <w:jc w:val="both"/>
              <w:rPr>
                <w:rFonts w:ascii="Arial" w:hAnsi="Arial" w:cs="Arial"/>
                <w:b/>
                <w:bCs/>
                <w:color w:val="FFFFFF"/>
                <w:lang w:val="fr-CH"/>
              </w:rPr>
            </w:pPr>
            <w:r w:rsidRPr="009E2EEF">
              <w:rPr>
                <w:rFonts w:ascii="Arial" w:hAnsi="Arial" w:cs="Arial"/>
                <w:color w:val="FFFFFF"/>
                <w:lang w:val="fr-CH"/>
              </w:rPr>
              <w:br w:type="column"/>
            </w:r>
            <w:r w:rsidRPr="009E2EEF">
              <w:rPr>
                <w:rFonts w:ascii="Arial" w:hAnsi="Arial" w:cs="Arial"/>
                <w:b/>
                <w:bCs/>
                <w:color w:val="FFFFFF"/>
                <w:lang w:val="fr-CH"/>
              </w:rPr>
              <w:t>Brèves informations</w:t>
            </w:r>
          </w:p>
        </w:tc>
      </w:tr>
    </w:tbl>
    <w:p w:rsidR="008B4F30" w:rsidRPr="009E2EEF" w:rsidRDefault="008B4F30" w:rsidP="00480A0C">
      <w:pPr>
        <w:spacing w:before="60"/>
        <w:jc w:val="both"/>
        <w:rPr>
          <w:rFonts w:eastAsia="Batang"/>
          <w:bCs/>
          <w:sz w:val="22"/>
          <w:szCs w:val="22"/>
          <w:lang w:val="fr-CH" w:eastAsia="ko-KR"/>
        </w:rPr>
      </w:pPr>
      <w:r w:rsidRPr="009E2EEF">
        <w:rPr>
          <w:rFonts w:ascii="Arial" w:eastAsia="Batang" w:hAnsi="Arial" w:cs="Arial"/>
          <w:b/>
          <w:bCs/>
          <w:sz w:val="22"/>
          <w:szCs w:val="22"/>
          <w:lang w:val="fr-CH" w:eastAsia="ko-KR"/>
        </w:rPr>
        <w:t>Pays concerné:</w:t>
      </w:r>
      <w:r w:rsidRPr="009E2EEF">
        <w:rPr>
          <w:rFonts w:ascii="Arial" w:eastAsia="Batang" w:hAnsi="Arial" w:cs="Arial"/>
          <w:bCs/>
          <w:sz w:val="22"/>
          <w:szCs w:val="22"/>
          <w:lang w:val="fr-CH" w:eastAsia="ko-KR"/>
        </w:rPr>
        <w:t xml:space="preserve"> </w:t>
      </w:r>
      <w:r w:rsidRPr="009E2EEF">
        <w:rPr>
          <w:rFonts w:eastAsia="Batang"/>
          <w:bCs/>
          <w:sz w:val="22"/>
          <w:szCs w:val="22"/>
          <w:lang w:val="fr-CH" w:eastAsia="ko-KR"/>
        </w:rPr>
        <w:t>Madagascar</w:t>
      </w:r>
    </w:p>
    <w:p w:rsidR="008B4F30" w:rsidRPr="004A59B9" w:rsidRDefault="008B4F30" w:rsidP="00480A0C">
      <w:pPr>
        <w:spacing w:before="60"/>
        <w:jc w:val="both"/>
        <w:rPr>
          <w:rFonts w:eastAsia="Batang"/>
          <w:bCs/>
          <w:color w:val="FF0000"/>
          <w:sz w:val="22"/>
          <w:szCs w:val="22"/>
          <w:lang w:val="fr-CH" w:eastAsia="ko-KR"/>
        </w:rPr>
      </w:pPr>
      <w:r w:rsidRPr="009E2EEF">
        <w:rPr>
          <w:rFonts w:ascii="Arial" w:eastAsia="Batang" w:hAnsi="Arial" w:cs="Arial"/>
          <w:b/>
          <w:bCs/>
          <w:sz w:val="22"/>
          <w:szCs w:val="22"/>
          <w:lang w:val="fr-CH" w:eastAsia="ko-KR"/>
        </w:rPr>
        <w:t>Evaluation final:</w:t>
      </w:r>
      <w:r w:rsidRPr="009E2EEF">
        <w:rPr>
          <w:rFonts w:ascii="Arial" w:eastAsia="Batang" w:hAnsi="Arial" w:cs="Arial"/>
          <w:bCs/>
          <w:sz w:val="22"/>
          <w:szCs w:val="22"/>
          <w:lang w:val="fr-CH" w:eastAsia="ko-KR"/>
        </w:rPr>
        <w:t xml:space="preserve">  </w:t>
      </w:r>
      <w:r w:rsidRPr="004A59B9">
        <w:rPr>
          <w:rFonts w:eastAsia="Batang"/>
          <w:bCs/>
          <w:sz w:val="22"/>
          <w:szCs w:val="22"/>
          <w:lang w:val="fr-CH" w:eastAsia="ko-KR"/>
        </w:rPr>
        <w:t xml:space="preserve">Nov 2008 </w:t>
      </w:r>
    </w:p>
    <w:p w:rsidR="008B4F30" w:rsidRPr="009E2EEF" w:rsidRDefault="008B4F30" w:rsidP="00480A0C">
      <w:pPr>
        <w:spacing w:before="60"/>
        <w:jc w:val="both"/>
        <w:rPr>
          <w:rFonts w:eastAsia="Batang"/>
          <w:bCs/>
          <w:sz w:val="22"/>
          <w:szCs w:val="22"/>
          <w:lang w:val="fr-CH" w:eastAsia="ko-KR"/>
        </w:rPr>
      </w:pPr>
      <w:r w:rsidRPr="009E2EEF">
        <w:rPr>
          <w:rFonts w:ascii="Arial" w:eastAsia="Batang" w:hAnsi="Arial" w:cs="Arial"/>
          <w:b/>
          <w:bCs/>
          <w:sz w:val="22"/>
          <w:szCs w:val="22"/>
          <w:lang w:val="fr-CH" w:eastAsia="ko-KR"/>
        </w:rPr>
        <w:t xml:space="preserve">Mode d’évaluation: </w:t>
      </w:r>
      <w:r w:rsidRPr="009E2EEF">
        <w:rPr>
          <w:rFonts w:eastAsia="Batang"/>
          <w:bCs/>
          <w:sz w:val="22"/>
          <w:szCs w:val="22"/>
          <w:lang w:val="fr-CH" w:eastAsia="ko-KR"/>
        </w:rPr>
        <w:t>Indépendante</w:t>
      </w:r>
      <w:r w:rsidRPr="009E2EEF">
        <w:rPr>
          <w:rFonts w:ascii="Arial" w:eastAsia="Batang" w:hAnsi="Arial" w:cs="Arial"/>
          <w:b/>
          <w:bCs/>
          <w:sz w:val="22"/>
          <w:szCs w:val="22"/>
          <w:lang w:val="fr-CH" w:eastAsia="ko-KR"/>
        </w:rPr>
        <w:t xml:space="preserve"> </w:t>
      </w:r>
      <w:r w:rsidRPr="009E2EEF">
        <w:rPr>
          <w:rFonts w:ascii="Arial" w:eastAsia="Batang" w:hAnsi="Arial" w:cs="Arial"/>
          <w:bCs/>
          <w:sz w:val="22"/>
          <w:szCs w:val="22"/>
          <w:lang w:val="fr-CH" w:eastAsia="ko-KR"/>
        </w:rPr>
        <w:t xml:space="preserve"> </w:t>
      </w:r>
    </w:p>
    <w:p w:rsidR="008B4F30" w:rsidRPr="009E2EEF" w:rsidRDefault="008B4F30" w:rsidP="00480A0C">
      <w:pPr>
        <w:spacing w:before="60"/>
        <w:jc w:val="both"/>
        <w:rPr>
          <w:rFonts w:ascii="Arial" w:eastAsia="Batang" w:hAnsi="Arial" w:cs="Arial"/>
          <w:bCs/>
          <w:sz w:val="22"/>
          <w:szCs w:val="22"/>
          <w:lang w:val="fr-CH" w:eastAsia="ko-KR"/>
        </w:rPr>
      </w:pPr>
      <w:r w:rsidRPr="009E2EEF">
        <w:rPr>
          <w:rFonts w:ascii="Arial" w:eastAsia="Batang" w:hAnsi="Arial" w:cs="Arial"/>
          <w:b/>
          <w:bCs/>
          <w:sz w:val="22"/>
          <w:szCs w:val="22"/>
          <w:lang w:val="fr-CH" w:eastAsia="ko-KR"/>
        </w:rPr>
        <w:t>Domaine Technique:</w:t>
      </w:r>
      <w:r w:rsidRPr="009E2EEF">
        <w:rPr>
          <w:rFonts w:ascii="Arial" w:eastAsia="Batang" w:hAnsi="Arial" w:cs="Arial"/>
          <w:bCs/>
          <w:sz w:val="22"/>
          <w:szCs w:val="22"/>
          <w:lang w:val="fr-CH" w:eastAsia="ko-KR"/>
        </w:rPr>
        <w:t xml:space="preserve"> </w:t>
      </w:r>
      <w:r w:rsidRPr="009E2EEF">
        <w:rPr>
          <w:rFonts w:eastAsia="Batang"/>
          <w:bCs/>
          <w:sz w:val="22"/>
          <w:szCs w:val="22"/>
          <w:lang w:val="fr-CH" w:eastAsia="ko-KR"/>
        </w:rPr>
        <w:t>Bonne gouvernance, création d’emploi à haute intensité de main d’œuvre (HIMO).</w:t>
      </w:r>
    </w:p>
    <w:p w:rsidR="008B4F30" w:rsidRPr="009E2EEF" w:rsidRDefault="008B4F30" w:rsidP="00385920">
      <w:pPr>
        <w:spacing w:before="60"/>
        <w:jc w:val="both"/>
        <w:rPr>
          <w:rFonts w:eastAsia="Batang"/>
          <w:bCs/>
          <w:sz w:val="22"/>
          <w:szCs w:val="22"/>
          <w:lang w:val="fr-CH" w:eastAsia="ko-KR"/>
        </w:rPr>
      </w:pPr>
      <w:r w:rsidRPr="009E2EEF">
        <w:rPr>
          <w:rFonts w:ascii="Arial" w:eastAsia="Batang" w:hAnsi="Arial" w:cs="Arial"/>
          <w:b/>
          <w:bCs/>
          <w:sz w:val="22"/>
          <w:szCs w:val="22"/>
          <w:lang w:val="fr-CH" w:eastAsia="ko-KR"/>
        </w:rPr>
        <w:t xml:space="preserve">Gestion de l’évaluation: </w:t>
      </w:r>
    </w:p>
    <w:p w:rsidR="008B4F30" w:rsidRPr="009E2EEF" w:rsidRDefault="008B4F30" w:rsidP="00385920">
      <w:pPr>
        <w:spacing w:before="60"/>
        <w:jc w:val="both"/>
        <w:rPr>
          <w:b/>
          <w:bCs/>
          <w:sz w:val="22"/>
          <w:szCs w:val="22"/>
          <w:lang w:val="fr-CH"/>
        </w:rPr>
      </w:pPr>
      <w:r w:rsidRPr="009E2EEF">
        <w:rPr>
          <w:rFonts w:ascii="Arial" w:eastAsia="Batang" w:hAnsi="Arial" w:cs="Arial"/>
          <w:b/>
          <w:bCs/>
          <w:sz w:val="22"/>
          <w:szCs w:val="22"/>
          <w:lang w:val="fr-CH" w:eastAsia="ko-KR"/>
        </w:rPr>
        <w:t>Equipe d’évaluation:</w:t>
      </w:r>
      <w:r w:rsidRPr="009E2EEF">
        <w:rPr>
          <w:rFonts w:ascii="Arial" w:hAnsi="Arial" w:cs="Arial"/>
          <w:sz w:val="22"/>
          <w:szCs w:val="22"/>
          <w:lang w:val="fr-CH"/>
        </w:rPr>
        <w:t xml:space="preserve"> </w:t>
      </w:r>
      <w:r w:rsidRPr="009E2EEF">
        <w:rPr>
          <w:sz w:val="22"/>
          <w:szCs w:val="22"/>
          <w:lang w:val="fr-CH"/>
        </w:rPr>
        <w:t>Anne Mossige, Bjorn Gildestad, Maminirinarivo Ralaivelo A.</w:t>
      </w:r>
    </w:p>
    <w:p w:rsidR="008B4F30" w:rsidRPr="009E2EEF" w:rsidRDefault="008B4F30" w:rsidP="00480A0C">
      <w:pPr>
        <w:spacing w:before="60"/>
        <w:jc w:val="both"/>
        <w:rPr>
          <w:rFonts w:eastAsia="Batang"/>
          <w:bCs/>
          <w:sz w:val="22"/>
          <w:szCs w:val="22"/>
          <w:lang w:val="fr-CH" w:eastAsia="ko-KR"/>
        </w:rPr>
      </w:pPr>
      <w:r w:rsidRPr="009E2EEF">
        <w:rPr>
          <w:rFonts w:ascii="Arial" w:eastAsia="Batang" w:hAnsi="Arial" w:cs="Arial"/>
          <w:b/>
          <w:bCs/>
          <w:sz w:val="22"/>
          <w:szCs w:val="22"/>
          <w:lang w:val="fr-CH" w:eastAsia="ko-KR"/>
        </w:rPr>
        <w:t>Début du projet:</w:t>
      </w:r>
      <w:r w:rsidRPr="009E2EEF">
        <w:rPr>
          <w:rFonts w:ascii="Arial" w:eastAsia="Batang" w:hAnsi="Arial" w:cs="Arial"/>
          <w:bCs/>
          <w:sz w:val="22"/>
          <w:szCs w:val="22"/>
          <w:lang w:val="fr-CH" w:eastAsia="ko-KR"/>
        </w:rPr>
        <w:t xml:space="preserve">   </w:t>
      </w:r>
      <w:r w:rsidRPr="009E2EEF">
        <w:rPr>
          <w:rFonts w:eastAsia="Batang"/>
          <w:bCs/>
          <w:sz w:val="22"/>
          <w:szCs w:val="22"/>
          <w:lang w:val="fr-CH" w:eastAsia="ko-KR"/>
        </w:rPr>
        <w:t>Août 2006</w:t>
      </w:r>
    </w:p>
    <w:p w:rsidR="008B4F30" w:rsidRPr="009E2EEF" w:rsidRDefault="008B4F30" w:rsidP="00480A0C">
      <w:pPr>
        <w:spacing w:before="60"/>
        <w:jc w:val="both"/>
        <w:rPr>
          <w:rFonts w:eastAsia="Batang"/>
          <w:bCs/>
          <w:sz w:val="22"/>
          <w:szCs w:val="22"/>
          <w:lang w:val="fr-CH" w:eastAsia="ko-KR"/>
        </w:rPr>
      </w:pPr>
      <w:r w:rsidRPr="009E2EEF">
        <w:rPr>
          <w:rFonts w:ascii="Arial" w:eastAsia="Batang" w:hAnsi="Arial" w:cs="Arial"/>
          <w:b/>
          <w:bCs/>
          <w:sz w:val="22"/>
          <w:szCs w:val="22"/>
          <w:lang w:val="fr-CH" w:eastAsia="ko-KR"/>
        </w:rPr>
        <w:t>Fin du projet</w:t>
      </w:r>
      <w:r w:rsidRPr="009E2EEF">
        <w:rPr>
          <w:rFonts w:eastAsia="Batang"/>
          <w:b/>
          <w:bCs/>
          <w:sz w:val="22"/>
          <w:szCs w:val="22"/>
          <w:lang w:val="fr-CH" w:eastAsia="ko-KR"/>
        </w:rPr>
        <w:t xml:space="preserve">:  </w:t>
      </w:r>
      <w:r w:rsidRPr="009E2EEF">
        <w:rPr>
          <w:rFonts w:eastAsia="Batang"/>
          <w:bCs/>
          <w:sz w:val="22"/>
          <w:szCs w:val="22"/>
          <w:lang w:val="fr-CH" w:eastAsia="ko-KR"/>
        </w:rPr>
        <w:t xml:space="preserve"> Août 2009</w:t>
      </w:r>
    </w:p>
    <w:p w:rsidR="008B4F30" w:rsidRPr="009E2EEF" w:rsidRDefault="008B4F30" w:rsidP="00245EFB">
      <w:pPr>
        <w:spacing w:before="60"/>
        <w:rPr>
          <w:rFonts w:eastAsia="Batang"/>
          <w:bCs/>
          <w:sz w:val="22"/>
          <w:szCs w:val="22"/>
          <w:lang w:val="fr-CH" w:eastAsia="ko-KR"/>
        </w:rPr>
      </w:pPr>
      <w:r w:rsidRPr="009E2EEF">
        <w:rPr>
          <w:rFonts w:ascii="Arial" w:eastAsia="Batang" w:hAnsi="Arial" w:cs="Arial"/>
          <w:b/>
          <w:bCs/>
          <w:sz w:val="22"/>
          <w:szCs w:val="22"/>
          <w:lang w:val="fr-CH" w:eastAsia="ko-KR"/>
        </w:rPr>
        <w:t xml:space="preserve">Code du projet:   </w:t>
      </w:r>
      <w:r w:rsidRPr="009E2EEF">
        <w:rPr>
          <w:rFonts w:eastAsia="Batang"/>
          <w:bCs/>
          <w:sz w:val="22"/>
          <w:szCs w:val="22"/>
          <w:lang w:val="fr-CH" w:eastAsia="ko-KR"/>
        </w:rPr>
        <w:t>MAG/06/MO1/NOR</w:t>
      </w:r>
    </w:p>
    <w:p w:rsidR="008B4F30" w:rsidRPr="009E2EEF" w:rsidRDefault="008B4F30" w:rsidP="00C63EFB">
      <w:pPr>
        <w:spacing w:before="60"/>
        <w:rPr>
          <w:rFonts w:eastAsia="Batang"/>
          <w:bCs/>
          <w:sz w:val="22"/>
          <w:szCs w:val="22"/>
          <w:lang w:val="fr-CH" w:eastAsia="ko-KR"/>
        </w:rPr>
      </w:pPr>
      <w:r w:rsidRPr="009E2EEF">
        <w:rPr>
          <w:rFonts w:ascii="Arial" w:eastAsia="Batang" w:hAnsi="Arial" w:cs="Arial"/>
          <w:b/>
          <w:bCs/>
          <w:sz w:val="22"/>
          <w:szCs w:val="22"/>
          <w:lang w:val="fr-CH" w:eastAsia="ko-KR"/>
        </w:rPr>
        <w:t>Donateur:</w:t>
      </w:r>
      <w:r w:rsidRPr="009E2EEF">
        <w:rPr>
          <w:rFonts w:ascii="Arial" w:eastAsia="Batang" w:hAnsi="Arial" w:cs="Arial"/>
          <w:bCs/>
          <w:sz w:val="22"/>
          <w:szCs w:val="22"/>
          <w:lang w:val="fr-CH" w:eastAsia="ko-KR"/>
        </w:rPr>
        <w:t xml:space="preserve"> </w:t>
      </w:r>
      <w:r w:rsidRPr="009E2EEF">
        <w:rPr>
          <w:rFonts w:eastAsia="Batang"/>
          <w:bCs/>
          <w:sz w:val="22"/>
          <w:szCs w:val="22"/>
          <w:lang w:val="fr-CH" w:eastAsia="ko-KR"/>
        </w:rPr>
        <w:t>Royaume de Norvège (2,600,000US$)</w:t>
      </w:r>
    </w:p>
    <w:p w:rsidR="008B4F30" w:rsidRPr="004A59B9" w:rsidRDefault="008B4F30" w:rsidP="005C48BD">
      <w:pPr>
        <w:spacing w:before="60"/>
        <w:jc w:val="both"/>
        <w:rPr>
          <w:rFonts w:eastAsia="Batang"/>
          <w:bCs/>
          <w:sz w:val="22"/>
          <w:szCs w:val="22"/>
          <w:lang w:val="fr-CH" w:eastAsia="ko-KR"/>
        </w:rPr>
      </w:pPr>
      <w:r w:rsidRPr="009E2EEF">
        <w:rPr>
          <w:rFonts w:ascii="Arial" w:eastAsia="Batang" w:hAnsi="Arial" w:cs="Arial"/>
          <w:b/>
          <w:bCs/>
          <w:sz w:val="22"/>
          <w:szCs w:val="22"/>
          <w:lang w:val="fr-CH" w:eastAsia="ko-KR"/>
        </w:rPr>
        <w:t>Mots-clés</w:t>
      </w:r>
      <w:r w:rsidRPr="009E2EEF">
        <w:rPr>
          <w:rFonts w:eastAsia="Batang"/>
          <w:b/>
          <w:bCs/>
          <w:sz w:val="22"/>
          <w:szCs w:val="22"/>
          <w:lang w:val="fr-CH" w:eastAsia="ko-KR"/>
        </w:rPr>
        <w:t xml:space="preserve">: </w:t>
      </w:r>
      <w:r w:rsidRPr="009E2EEF">
        <w:rPr>
          <w:rFonts w:eastAsia="Batang"/>
          <w:bCs/>
          <w:sz w:val="22"/>
          <w:szCs w:val="22"/>
          <w:lang w:val="fr-CH" w:eastAsia="ko-KR"/>
        </w:rPr>
        <w:t xml:space="preserve">Décentralisation, Bonne gouvernance, </w:t>
      </w:r>
      <w:r w:rsidRPr="004A59B9">
        <w:rPr>
          <w:lang w:val="fr-FR"/>
        </w:rPr>
        <w:t>emploi à forte intensité de main-d'oeuvre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1"/>
      </w:tblGrid>
      <w:tr w:rsidR="008B4F30" w:rsidRPr="009E2EEF">
        <w:tc>
          <w:tcPr>
            <w:tcW w:w="4751" w:type="dxa"/>
            <w:shd w:val="clear" w:color="auto" w:fill="81562B"/>
          </w:tcPr>
          <w:p w:rsidR="008B4F30" w:rsidRPr="009E2EEF" w:rsidRDefault="008B4F30" w:rsidP="00A376E6">
            <w:pPr>
              <w:spacing w:before="60" w:after="60"/>
              <w:jc w:val="both"/>
              <w:rPr>
                <w:rFonts w:ascii="Arial" w:hAnsi="Arial" w:cs="Arial"/>
                <w:b/>
                <w:color w:val="FFFFFF"/>
                <w:lang w:val="fr-CH"/>
              </w:rPr>
            </w:pPr>
            <w:r w:rsidRPr="009E2EEF">
              <w:rPr>
                <w:rFonts w:ascii="Arial" w:hAnsi="Arial" w:cs="Arial"/>
                <w:b/>
                <w:color w:val="FFFFFF"/>
                <w:lang w:val="fr-CH"/>
              </w:rPr>
              <w:br w:type="column"/>
              <w:t>Contexte</w:t>
            </w:r>
          </w:p>
        </w:tc>
      </w:tr>
    </w:tbl>
    <w:p w:rsidR="008B4F30" w:rsidRPr="009E2EEF" w:rsidRDefault="008B4F30" w:rsidP="00210F23">
      <w:pPr>
        <w:rPr>
          <w:rFonts w:ascii="Arial" w:hAnsi="Arial" w:cs="Arial"/>
          <w:b/>
          <w:sz w:val="22"/>
          <w:szCs w:val="22"/>
          <w:lang w:val="fr-CH"/>
        </w:rPr>
      </w:pPr>
    </w:p>
    <w:p w:rsidR="008B4F30" w:rsidRPr="009E2EEF" w:rsidRDefault="008B4F30" w:rsidP="00210F23">
      <w:pPr>
        <w:rPr>
          <w:rFonts w:ascii="Arial" w:hAnsi="Arial" w:cs="Arial"/>
          <w:b/>
          <w:sz w:val="22"/>
          <w:szCs w:val="22"/>
          <w:lang w:val="fr-CH"/>
        </w:rPr>
      </w:pPr>
      <w:r w:rsidRPr="009E2EEF">
        <w:rPr>
          <w:rFonts w:ascii="Arial" w:hAnsi="Arial" w:cs="Arial"/>
          <w:b/>
          <w:sz w:val="22"/>
          <w:szCs w:val="22"/>
          <w:lang w:val="fr-CH"/>
        </w:rPr>
        <w:t>Brève presentation du projet</w:t>
      </w:r>
    </w:p>
    <w:p w:rsidR="008B4F30" w:rsidRPr="009E2EEF" w:rsidRDefault="008B4F30" w:rsidP="00F85963">
      <w:pPr>
        <w:autoSpaceDE w:val="0"/>
        <w:autoSpaceDN w:val="0"/>
        <w:adjustRightInd w:val="0"/>
        <w:jc w:val="both"/>
        <w:rPr>
          <w:color w:val="231F20"/>
          <w:sz w:val="21"/>
          <w:szCs w:val="21"/>
          <w:lang w:val="fr-CH"/>
        </w:rPr>
      </w:pPr>
    </w:p>
    <w:p w:rsidR="008B4F30" w:rsidRPr="009E2EEF" w:rsidRDefault="008B4F30" w:rsidP="00F85963">
      <w:pPr>
        <w:autoSpaceDE w:val="0"/>
        <w:autoSpaceDN w:val="0"/>
        <w:adjustRightInd w:val="0"/>
        <w:jc w:val="both"/>
        <w:rPr>
          <w:color w:val="231F20"/>
          <w:sz w:val="21"/>
          <w:szCs w:val="21"/>
          <w:lang w:val="fr-CH"/>
        </w:rPr>
      </w:pPr>
      <w:r w:rsidRPr="009E2EEF">
        <w:rPr>
          <w:color w:val="231F20"/>
          <w:sz w:val="21"/>
          <w:szCs w:val="21"/>
          <w:lang w:val="fr-CH"/>
        </w:rPr>
        <w:t>Dans sa nouvelle politique de réduction de la pauvreté, le gouvernement malgache a élaboré le plan d’action pour Madagascar pour la période 2007-2012.</w:t>
      </w:r>
    </w:p>
    <w:p w:rsidR="008B4F30" w:rsidRPr="009E2EEF" w:rsidRDefault="008B4F30" w:rsidP="00F85963">
      <w:pPr>
        <w:autoSpaceDE w:val="0"/>
        <w:autoSpaceDN w:val="0"/>
        <w:adjustRightInd w:val="0"/>
        <w:jc w:val="both"/>
        <w:rPr>
          <w:color w:val="231F20"/>
          <w:sz w:val="21"/>
          <w:szCs w:val="21"/>
          <w:lang w:val="fr-CH"/>
        </w:rPr>
      </w:pPr>
      <w:r w:rsidRPr="009E2EEF">
        <w:rPr>
          <w:color w:val="231F20"/>
          <w:sz w:val="21"/>
          <w:szCs w:val="21"/>
          <w:lang w:val="fr-CH"/>
        </w:rPr>
        <w:t>C’est dans ce contexte qu’a été élaboré la politique  nationale de décentralisation et de déconcentration (PN2D) basée sur les principes de l’autonomie et de la subsidiarité, de la redevabilité des responsables des collectivités territoriales décentralisées envers les citoyens, ainsi que sur la participation citoyenne.</w:t>
      </w:r>
    </w:p>
    <w:p w:rsidR="008B4F30" w:rsidRPr="009E2EEF" w:rsidRDefault="008B4F30" w:rsidP="00F85963">
      <w:pPr>
        <w:autoSpaceDE w:val="0"/>
        <w:autoSpaceDN w:val="0"/>
        <w:adjustRightInd w:val="0"/>
        <w:jc w:val="both"/>
        <w:rPr>
          <w:color w:val="231F20"/>
          <w:sz w:val="21"/>
          <w:szCs w:val="21"/>
          <w:lang w:val="fr-CH"/>
        </w:rPr>
      </w:pPr>
    </w:p>
    <w:p w:rsidR="008B4F30" w:rsidRPr="009E2EEF" w:rsidRDefault="008B4F30" w:rsidP="00F85963">
      <w:pPr>
        <w:autoSpaceDE w:val="0"/>
        <w:autoSpaceDN w:val="0"/>
        <w:adjustRightInd w:val="0"/>
        <w:jc w:val="both"/>
        <w:rPr>
          <w:color w:val="231F20"/>
          <w:sz w:val="21"/>
          <w:szCs w:val="21"/>
          <w:lang w:val="fr-CH"/>
        </w:rPr>
      </w:pPr>
      <w:r w:rsidRPr="009E2EEF">
        <w:rPr>
          <w:color w:val="231F20"/>
          <w:sz w:val="21"/>
          <w:szCs w:val="21"/>
          <w:lang w:val="fr-CH"/>
        </w:rPr>
        <w:t>S’inspirant des résultats positifs du projet HIMO communal 2004-2005, le nouveau projet HIMO Communal a comme objectif principal de soutenir les objectifs de la politique nationale de la déconcentration et de la décentralisation à Madagascar, par la promotion de la bonne gouvernance au sein des huit communes membres de</w:t>
      </w:r>
      <w:r w:rsidRPr="009E2EEF">
        <w:rPr>
          <w:sz w:val="21"/>
          <w:szCs w:val="21"/>
          <w:lang w:val="fr-CH"/>
        </w:rPr>
        <w:t xml:space="preserve"> l’Organisme Public de coopération intercommunale</w:t>
      </w:r>
      <w:r w:rsidRPr="009E2EEF">
        <w:rPr>
          <w:color w:val="231F20"/>
          <w:sz w:val="21"/>
          <w:szCs w:val="21"/>
          <w:lang w:val="fr-CH"/>
        </w:rPr>
        <w:t xml:space="preserve"> (OPCI), de la région d’Anosy.</w:t>
      </w:r>
    </w:p>
    <w:p w:rsidR="008B4F30" w:rsidRPr="009E2EEF" w:rsidRDefault="008B4F30" w:rsidP="00F85963">
      <w:pPr>
        <w:autoSpaceDE w:val="0"/>
        <w:autoSpaceDN w:val="0"/>
        <w:adjustRightInd w:val="0"/>
        <w:jc w:val="both"/>
        <w:rPr>
          <w:color w:val="231F20"/>
          <w:sz w:val="21"/>
          <w:szCs w:val="21"/>
          <w:lang w:val="fr-CH"/>
        </w:rPr>
      </w:pPr>
    </w:p>
    <w:p w:rsidR="008B4F30" w:rsidRPr="009E2EEF" w:rsidRDefault="008B4F30" w:rsidP="00F85963">
      <w:pPr>
        <w:autoSpaceDE w:val="0"/>
        <w:autoSpaceDN w:val="0"/>
        <w:adjustRightInd w:val="0"/>
        <w:jc w:val="both"/>
        <w:rPr>
          <w:color w:val="231F20"/>
          <w:sz w:val="21"/>
          <w:szCs w:val="21"/>
          <w:lang w:val="fr-CH"/>
        </w:rPr>
      </w:pPr>
      <w:r w:rsidRPr="009E2EEF">
        <w:rPr>
          <w:color w:val="231F20"/>
          <w:sz w:val="21"/>
          <w:szCs w:val="21"/>
          <w:lang w:val="fr-CH"/>
        </w:rPr>
        <w:t>Le projet repose sur deux objectifs immédiats :</w:t>
      </w:r>
    </w:p>
    <w:p w:rsidR="008B4F30" w:rsidRPr="009E2EEF" w:rsidRDefault="008B4F30" w:rsidP="00F85963">
      <w:pPr>
        <w:autoSpaceDE w:val="0"/>
        <w:autoSpaceDN w:val="0"/>
        <w:adjustRightInd w:val="0"/>
        <w:jc w:val="both"/>
        <w:rPr>
          <w:color w:val="231F20"/>
          <w:sz w:val="21"/>
          <w:szCs w:val="21"/>
          <w:lang w:val="fr-CH"/>
        </w:rPr>
      </w:pPr>
    </w:p>
    <w:p w:rsidR="008B4F30" w:rsidRPr="009E2EEF" w:rsidRDefault="008B4F30" w:rsidP="00D6418F">
      <w:pPr>
        <w:numPr>
          <w:ilvl w:val="0"/>
          <w:numId w:val="16"/>
        </w:numPr>
        <w:autoSpaceDE w:val="0"/>
        <w:autoSpaceDN w:val="0"/>
        <w:adjustRightInd w:val="0"/>
        <w:jc w:val="both"/>
        <w:rPr>
          <w:sz w:val="21"/>
          <w:szCs w:val="21"/>
          <w:lang w:val="fr-CH"/>
        </w:rPr>
      </w:pPr>
      <w:r w:rsidRPr="009E2EEF">
        <w:rPr>
          <w:sz w:val="21"/>
          <w:szCs w:val="21"/>
          <w:lang w:val="fr-CH"/>
        </w:rPr>
        <w:t>Le renforcement  des capacités des communes dans les domaines de la bonne gouvernance, de la fiscalité communale, des procédures contractuelles (passation des marchés), de la gestion des fonds locaux et de la coopération intercommunale par l’appui et la formation de  l’OPCI de l’Anosy, aux communes, et aux associations de base/usager.</w:t>
      </w:r>
    </w:p>
    <w:p w:rsidR="008B4F30" w:rsidRPr="009E2EEF" w:rsidRDefault="008B4F30" w:rsidP="00F85963">
      <w:pPr>
        <w:autoSpaceDE w:val="0"/>
        <w:autoSpaceDN w:val="0"/>
        <w:adjustRightInd w:val="0"/>
        <w:jc w:val="both"/>
        <w:rPr>
          <w:color w:val="231F20"/>
          <w:sz w:val="21"/>
          <w:szCs w:val="21"/>
          <w:lang w:val="fr-CH"/>
        </w:rPr>
      </w:pPr>
    </w:p>
    <w:p w:rsidR="008B4F30" w:rsidRPr="009E2EEF" w:rsidRDefault="008B4F30" w:rsidP="00D6418F">
      <w:pPr>
        <w:numPr>
          <w:ilvl w:val="0"/>
          <w:numId w:val="15"/>
        </w:numPr>
        <w:autoSpaceDE w:val="0"/>
        <w:autoSpaceDN w:val="0"/>
        <w:adjustRightInd w:val="0"/>
        <w:jc w:val="both"/>
        <w:rPr>
          <w:color w:val="231F20"/>
          <w:sz w:val="21"/>
          <w:szCs w:val="21"/>
          <w:lang w:val="fr-CH"/>
        </w:rPr>
      </w:pPr>
      <w:r w:rsidRPr="009E2EEF">
        <w:rPr>
          <w:color w:val="231F20"/>
          <w:sz w:val="21"/>
          <w:szCs w:val="21"/>
          <w:lang w:val="fr-CH"/>
        </w:rPr>
        <w:t>Et le renforcement des capacités d’intervention des acteurs locaux (petites et moyennes entreprises, bureaux d’études et associations de quartiers)  par la formation et l’exécution d’infrastructures sociales et économiques afin de créer des emplois locaux, selon l’approche HIMO.</w:t>
      </w:r>
    </w:p>
    <w:p w:rsidR="008B4F30" w:rsidRPr="009E2EEF" w:rsidRDefault="008B4F30" w:rsidP="00970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lang w:val="fr-CH"/>
        </w:rPr>
      </w:pPr>
    </w:p>
    <w:p w:rsidR="008B4F30" w:rsidRPr="009E2EEF" w:rsidRDefault="008B4F30" w:rsidP="00970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fr-CH"/>
        </w:rPr>
      </w:pPr>
      <w:r w:rsidRPr="009E2EEF">
        <w:rPr>
          <w:sz w:val="22"/>
          <w:szCs w:val="22"/>
          <w:lang w:val="fr-CH"/>
        </w:rPr>
        <w:t>L’exécution du projet est assurée par la cellule d’appui du BIT basée à Antisrabe, les associations Centre de formation HIMO, Entreprendre à Madagascar, et Micro réalisation HIMO. Parallèlement, un comité d’orientation regroupant le Ministère de l’Intérieur et de la décentralisation, le collectif des maires de l’OPCI, et la cellule d’appui projets HIMO d’Antisrabe a effectué la sélection des bénéficiaires et la discussion de la stratégie du programme, ainsi que l’examen des budgets prévisionnels.</w:t>
      </w:r>
    </w:p>
    <w:p w:rsidR="008B4F30" w:rsidRPr="009E2EEF" w:rsidRDefault="008B4F30" w:rsidP="00970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lang w:val="fr-CH"/>
        </w:rPr>
      </w:pPr>
    </w:p>
    <w:p w:rsidR="008B4F30" w:rsidRPr="009E2EEF" w:rsidRDefault="008B4F30" w:rsidP="00970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lang w:val="fr-CH"/>
        </w:rPr>
      </w:pPr>
      <w:r w:rsidRPr="009E2EEF">
        <w:rPr>
          <w:rFonts w:ascii="Arial" w:hAnsi="Arial" w:cs="Arial"/>
          <w:b/>
          <w:sz w:val="22"/>
          <w:szCs w:val="22"/>
          <w:lang w:val="fr-CH"/>
        </w:rPr>
        <w:t xml:space="preserve">Objet, portée et objectifs de l’évaluation  </w:t>
      </w:r>
    </w:p>
    <w:p w:rsidR="008B4F30" w:rsidRPr="009E2EEF" w:rsidRDefault="008B4F30" w:rsidP="00AD4622">
      <w:pPr>
        <w:jc w:val="both"/>
        <w:rPr>
          <w:sz w:val="22"/>
          <w:szCs w:val="22"/>
          <w:lang w:val="fr-CH"/>
        </w:rPr>
      </w:pPr>
    </w:p>
    <w:p w:rsidR="008B4F30" w:rsidRPr="009E2EEF" w:rsidRDefault="008B4F30" w:rsidP="00AD4622">
      <w:pPr>
        <w:jc w:val="both"/>
        <w:rPr>
          <w:sz w:val="22"/>
          <w:szCs w:val="22"/>
          <w:lang w:val="fr-CH"/>
        </w:rPr>
      </w:pPr>
      <w:r w:rsidRPr="009E2EEF">
        <w:rPr>
          <w:sz w:val="22"/>
          <w:szCs w:val="22"/>
          <w:lang w:val="fr-CH"/>
        </w:rPr>
        <w:t xml:space="preserve">Selon les termes de référence, l’objectif de la mission d’évaluation était d’analyser et évaluer l’efficience et l’efficacité du processus de mise en œuvre et d’apprécier l’impact du projet en relation avec la pérennité des acquise, et les ressources allouées. Plus particulièrement la mission d’évaluation a examiné : </w:t>
      </w:r>
    </w:p>
    <w:p w:rsidR="008B4F30" w:rsidRPr="009E2EEF" w:rsidRDefault="008B4F30" w:rsidP="00AD4622">
      <w:pPr>
        <w:numPr>
          <w:ilvl w:val="0"/>
          <w:numId w:val="14"/>
        </w:numPr>
        <w:jc w:val="both"/>
        <w:rPr>
          <w:sz w:val="22"/>
          <w:szCs w:val="22"/>
          <w:lang w:val="fr-CH"/>
        </w:rPr>
      </w:pPr>
      <w:r w:rsidRPr="009E2EEF">
        <w:rPr>
          <w:sz w:val="22"/>
          <w:szCs w:val="22"/>
          <w:lang w:val="fr-CH"/>
        </w:rPr>
        <w:t>La conception, l’organisation et les stratégies opérationnelles du projet, en appréciant l’adéquation de l’approche retenue et des objectifs poursuivis par rapport, notamment, à la politique de décentralisation en cours, aux besoins de développement des régions, communes et  communautés ainsi que les besoins d’ autres institutions locales de la zone d’intervention.</w:t>
      </w:r>
    </w:p>
    <w:p w:rsidR="008B4F30" w:rsidRPr="009E2EEF" w:rsidRDefault="008B4F30" w:rsidP="00A147A6">
      <w:pPr>
        <w:ind w:left="360"/>
        <w:jc w:val="both"/>
        <w:rPr>
          <w:sz w:val="22"/>
          <w:szCs w:val="22"/>
          <w:lang w:val="fr-CH"/>
        </w:rPr>
      </w:pPr>
    </w:p>
    <w:p w:rsidR="008B4F30" w:rsidRPr="009E2EEF" w:rsidRDefault="008B4F30" w:rsidP="00A02CDE">
      <w:pPr>
        <w:numPr>
          <w:ilvl w:val="0"/>
          <w:numId w:val="14"/>
        </w:numPr>
        <w:jc w:val="both"/>
        <w:rPr>
          <w:sz w:val="22"/>
          <w:szCs w:val="22"/>
          <w:lang w:val="fr-CH"/>
        </w:rPr>
      </w:pPr>
      <w:r w:rsidRPr="009E2EEF">
        <w:rPr>
          <w:sz w:val="22"/>
          <w:szCs w:val="22"/>
          <w:lang w:val="fr-CH"/>
        </w:rPr>
        <w:t>Les perspectives et la viabilité à long terme des résultats obtenus, et les apports complémentaires à apporter afin de renforcer les acquis et les prochaines étapes du projet.</w:t>
      </w:r>
    </w:p>
    <w:p w:rsidR="008B4F30" w:rsidRPr="009E2EEF" w:rsidRDefault="008B4F30" w:rsidP="00A147A6">
      <w:pPr>
        <w:pStyle w:val="ListParagraph"/>
        <w:rPr>
          <w:sz w:val="22"/>
          <w:szCs w:val="22"/>
          <w:lang w:val="fr-CH"/>
        </w:rPr>
      </w:pPr>
    </w:p>
    <w:p w:rsidR="008B4F30" w:rsidRPr="009E2EEF" w:rsidRDefault="008B4F30" w:rsidP="00A147A6">
      <w:pPr>
        <w:numPr>
          <w:ilvl w:val="0"/>
          <w:numId w:val="14"/>
        </w:numPr>
        <w:jc w:val="both"/>
        <w:rPr>
          <w:sz w:val="22"/>
          <w:szCs w:val="22"/>
          <w:lang w:val="fr-CH"/>
        </w:rPr>
      </w:pPr>
      <w:r w:rsidRPr="009E2EEF">
        <w:rPr>
          <w:sz w:val="22"/>
          <w:szCs w:val="22"/>
          <w:lang w:val="fr-CH"/>
        </w:rPr>
        <w:t xml:space="preserve">L’impact direct et indirect du projet. </w:t>
      </w:r>
    </w:p>
    <w:p w:rsidR="008B4F30" w:rsidRPr="009E2EEF" w:rsidRDefault="008B4F30" w:rsidP="00A147A6">
      <w:pPr>
        <w:ind w:left="360"/>
        <w:jc w:val="both"/>
        <w:rPr>
          <w:sz w:val="22"/>
          <w:szCs w:val="22"/>
          <w:lang w:val="fr-CH"/>
        </w:rPr>
      </w:pPr>
    </w:p>
    <w:p w:rsidR="008B4F30" w:rsidRPr="009E2EEF" w:rsidRDefault="008B4F30" w:rsidP="00970DB2">
      <w:pPr>
        <w:jc w:val="both"/>
        <w:rPr>
          <w:rFonts w:ascii="Arial" w:hAnsi="Arial" w:cs="Arial"/>
          <w:b/>
          <w:sz w:val="22"/>
          <w:szCs w:val="22"/>
          <w:lang w:val="fr-CH"/>
        </w:rPr>
      </w:pPr>
      <w:r w:rsidRPr="009E2EEF">
        <w:rPr>
          <w:rFonts w:ascii="Arial" w:hAnsi="Arial" w:cs="Arial"/>
          <w:b/>
          <w:sz w:val="22"/>
          <w:szCs w:val="22"/>
          <w:lang w:val="fr-CH"/>
        </w:rPr>
        <w:t>Méthodologie de l’évaluation</w:t>
      </w:r>
    </w:p>
    <w:p w:rsidR="008B4F30" w:rsidRPr="009E2EEF" w:rsidRDefault="008B4F30" w:rsidP="00970DB2">
      <w:pPr>
        <w:jc w:val="both"/>
        <w:rPr>
          <w:rFonts w:ascii="Arial" w:hAnsi="Arial" w:cs="Arial"/>
          <w:b/>
          <w:sz w:val="22"/>
          <w:szCs w:val="22"/>
          <w:lang w:val="fr-CH"/>
        </w:rPr>
      </w:pPr>
    </w:p>
    <w:p w:rsidR="008B4F30" w:rsidRPr="009E2EEF" w:rsidRDefault="008B4F30" w:rsidP="00970DB2">
      <w:pPr>
        <w:jc w:val="both"/>
        <w:rPr>
          <w:sz w:val="22"/>
          <w:szCs w:val="22"/>
          <w:lang w:val="fr-CH"/>
        </w:rPr>
      </w:pPr>
      <w:r w:rsidRPr="009E2EEF">
        <w:rPr>
          <w:sz w:val="22"/>
          <w:szCs w:val="22"/>
          <w:lang w:val="fr-CH"/>
        </w:rPr>
        <w:t>La démarche méthodologique repose sur quatre types d’activité :</w:t>
      </w:r>
    </w:p>
    <w:p w:rsidR="008B4F30" w:rsidRPr="009E2EEF" w:rsidRDefault="008B4F30" w:rsidP="00970DB2">
      <w:pPr>
        <w:jc w:val="both"/>
        <w:rPr>
          <w:sz w:val="22"/>
          <w:szCs w:val="22"/>
          <w:lang w:val="fr-CH"/>
        </w:rPr>
      </w:pPr>
    </w:p>
    <w:p w:rsidR="008B4F30" w:rsidRPr="009E2EEF" w:rsidRDefault="008B4F30" w:rsidP="00760331">
      <w:pPr>
        <w:numPr>
          <w:ilvl w:val="0"/>
          <w:numId w:val="13"/>
        </w:numPr>
        <w:jc w:val="both"/>
        <w:rPr>
          <w:sz w:val="22"/>
          <w:szCs w:val="22"/>
          <w:lang w:val="fr-CH"/>
        </w:rPr>
      </w:pPr>
      <w:r w:rsidRPr="009E2EEF">
        <w:rPr>
          <w:sz w:val="22"/>
          <w:szCs w:val="22"/>
          <w:lang w:val="fr-CH"/>
        </w:rPr>
        <w:t>Revue des documents relatifs au projet et à la politique nationale de décentralisation.</w:t>
      </w:r>
    </w:p>
    <w:p w:rsidR="008B4F30" w:rsidRPr="009E2EEF" w:rsidRDefault="008B4F30" w:rsidP="00461B56">
      <w:pPr>
        <w:ind w:left="360"/>
        <w:jc w:val="both"/>
        <w:rPr>
          <w:sz w:val="22"/>
          <w:szCs w:val="22"/>
          <w:lang w:val="fr-CH"/>
        </w:rPr>
      </w:pPr>
    </w:p>
    <w:p w:rsidR="008B4F30" w:rsidRPr="009E2EEF" w:rsidRDefault="008B4F30" w:rsidP="00461B56">
      <w:pPr>
        <w:numPr>
          <w:ilvl w:val="0"/>
          <w:numId w:val="13"/>
        </w:numPr>
        <w:jc w:val="both"/>
        <w:rPr>
          <w:sz w:val="22"/>
          <w:szCs w:val="22"/>
          <w:lang w:val="fr-CH"/>
        </w:rPr>
      </w:pPr>
      <w:r w:rsidRPr="009E2EEF">
        <w:rPr>
          <w:sz w:val="22"/>
          <w:szCs w:val="22"/>
          <w:lang w:val="fr-CH"/>
        </w:rPr>
        <w:t xml:space="preserve">Entretien à Antananarivo et à Antisrabe avec l’ensemble des parties prenantes du projet. </w:t>
      </w:r>
    </w:p>
    <w:p w:rsidR="008B4F30" w:rsidRPr="009E2EEF" w:rsidRDefault="008B4F30" w:rsidP="00A02CDE">
      <w:pPr>
        <w:ind w:left="360"/>
        <w:jc w:val="both"/>
        <w:rPr>
          <w:sz w:val="22"/>
          <w:szCs w:val="22"/>
          <w:lang w:val="fr-CH"/>
        </w:rPr>
      </w:pPr>
    </w:p>
    <w:p w:rsidR="008B4F30" w:rsidRPr="009E2EEF" w:rsidRDefault="008B4F30" w:rsidP="00F11FBB">
      <w:pPr>
        <w:numPr>
          <w:ilvl w:val="0"/>
          <w:numId w:val="13"/>
        </w:numPr>
        <w:jc w:val="both"/>
        <w:rPr>
          <w:sz w:val="22"/>
          <w:szCs w:val="22"/>
          <w:lang w:val="fr-CH"/>
        </w:rPr>
      </w:pPr>
      <w:r w:rsidRPr="009E2EEF">
        <w:rPr>
          <w:sz w:val="22"/>
          <w:szCs w:val="22"/>
          <w:lang w:val="fr-CH"/>
        </w:rPr>
        <w:t xml:space="preserve">Visites sur les sites des sous projet et entretiens avec les différentes parties prenantes et agents d’exécution du projet </w:t>
      </w:r>
    </w:p>
    <w:p w:rsidR="008B4F30" w:rsidRPr="009E2EEF" w:rsidRDefault="008B4F30" w:rsidP="00F11FBB">
      <w:pPr>
        <w:jc w:val="both"/>
        <w:rPr>
          <w:sz w:val="22"/>
          <w:szCs w:val="22"/>
          <w:lang w:val="fr-CH"/>
        </w:rPr>
      </w:pPr>
    </w:p>
    <w:p w:rsidR="008B4F30" w:rsidRPr="009E2EEF" w:rsidRDefault="008B4F30" w:rsidP="00284FDB">
      <w:pPr>
        <w:numPr>
          <w:ilvl w:val="0"/>
          <w:numId w:val="13"/>
        </w:numPr>
        <w:jc w:val="both"/>
        <w:rPr>
          <w:sz w:val="22"/>
          <w:szCs w:val="22"/>
          <w:lang w:val="fr-CH"/>
        </w:rPr>
      </w:pPr>
      <w:r w:rsidRPr="009E2EEF">
        <w:rPr>
          <w:sz w:val="22"/>
          <w:szCs w:val="22"/>
          <w:lang w:val="fr-CH"/>
        </w:rPr>
        <w:t>Analyse des données collectées</w:t>
      </w:r>
    </w:p>
    <w:p w:rsidR="008B4F30" w:rsidRPr="009E2EEF" w:rsidRDefault="008B4F30" w:rsidP="00500FEC">
      <w:pPr>
        <w:tabs>
          <w:tab w:val="left" w:pos="0"/>
          <w:tab w:val="left" w:pos="2100"/>
          <w:tab w:val="left" w:pos="2820"/>
          <w:tab w:val="left" w:pos="3540"/>
          <w:tab w:val="left" w:pos="4260"/>
          <w:tab w:val="left" w:pos="4980"/>
          <w:tab w:val="left" w:pos="5700"/>
          <w:tab w:val="left" w:pos="6420"/>
          <w:tab w:val="left" w:pos="7140"/>
        </w:tabs>
        <w:spacing w:after="60"/>
        <w:jc w:val="both"/>
        <w:rPr>
          <w:sz w:val="22"/>
          <w:szCs w:val="22"/>
          <w:lang w:val="fr-CH"/>
        </w:rPr>
      </w:pPr>
    </w:p>
    <w:p w:rsidR="008B4F30" w:rsidRPr="009E2EEF" w:rsidRDefault="008B4F30" w:rsidP="00500FEC">
      <w:pPr>
        <w:tabs>
          <w:tab w:val="left" w:pos="0"/>
          <w:tab w:val="left" w:pos="2100"/>
          <w:tab w:val="left" w:pos="2820"/>
          <w:tab w:val="left" w:pos="3540"/>
          <w:tab w:val="left" w:pos="4260"/>
          <w:tab w:val="left" w:pos="4980"/>
          <w:tab w:val="left" w:pos="5700"/>
          <w:tab w:val="left" w:pos="6420"/>
          <w:tab w:val="left" w:pos="7140"/>
        </w:tabs>
        <w:spacing w:after="60"/>
        <w:jc w:val="both"/>
        <w:rPr>
          <w:sz w:val="22"/>
          <w:szCs w:val="22"/>
          <w:lang w:val="fr-CH"/>
        </w:rPr>
      </w:pPr>
      <w:r w:rsidRPr="009E2EEF">
        <w:rPr>
          <w:sz w:val="22"/>
          <w:szCs w:val="22"/>
          <w:lang w:val="fr-CH"/>
        </w:rPr>
        <w:t xml:space="preserve">L’évaluation a eu lieu à Madagascar du 29 septembre au 13 octobre 2008. L’équipe d’évaluation a été composée d’un consultant international représentant la Norvège, un consultant international représentant le BIT, un consultant national, et un représentant de la Direction générale de la Décentralisation du Ministère de l’Intérieur.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1"/>
      </w:tblGrid>
      <w:tr w:rsidR="008B4F30" w:rsidRPr="009E2EEF">
        <w:tc>
          <w:tcPr>
            <w:tcW w:w="4751" w:type="dxa"/>
            <w:shd w:val="clear" w:color="auto" w:fill="81562B"/>
          </w:tcPr>
          <w:p w:rsidR="008B4F30" w:rsidRPr="009E2EEF" w:rsidRDefault="008B4F30" w:rsidP="00970DB2">
            <w:pPr>
              <w:spacing w:before="60" w:after="60"/>
              <w:jc w:val="both"/>
              <w:rPr>
                <w:rFonts w:ascii="Arial" w:hAnsi="Arial" w:cs="Arial"/>
                <w:b/>
                <w:color w:val="FFFFFF"/>
                <w:lang w:val="fr-CH"/>
              </w:rPr>
            </w:pPr>
            <w:r w:rsidRPr="009E2EEF">
              <w:rPr>
                <w:b/>
                <w:color w:val="FFFFFF"/>
                <w:sz w:val="22"/>
                <w:szCs w:val="22"/>
                <w:lang w:val="fr-CH"/>
              </w:rPr>
              <w:br w:type="column"/>
            </w:r>
            <w:r w:rsidRPr="009E2EEF">
              <w:rPr>
                <w:rFonts w:ascii="Arial" w:hAnsi="Arial" w:cs="Arial"/>
                <w:b/>
                <w:color w:val="FFFFFF"/>
                <w:lang w:val="fr-CH"/>
              </w:rPr>
              <w:t>Résultats atteints et conclusions</w:t>
            </w:r>
          </w:p>
        </w:tc>
      </w:tr>
    </w:tbl>
    <w:p w:rsidR="008B4F30" w:rsidRPr="009E2EEF" w:rsidRDefault="008B4F30" w:rsidP="00970DB2">
      <w:pPr>
        <w:spacing w:after="60"/>
        <w:jc w:val="both"/>
        <w:rPr>
          <w:rFonts w:eastAsia="Batang"/>
          <w:sz w:val="22"/>
          <w:szCs w:val="22"/>
          <w:lang w:val="fr-CH" w:eastAsia="ko-KR"/>
        </w:rPr>
      </w:pPr>
    </w:p>
    <w:p w:rsidR="008B4F30" w:rsidRPr="009E2EEF" w:rsidRDefault="008B4F30" w:rsidP="00970DB2">
      <w:pPr>
        <w:spacing w:after="60"/>
        <w:jc w:val="both"/>
        <w:rPr>
          <w:rFonts w:eastAsia="Batang"/>
          <w:sz w:val="22"/>
          <w:szCs w:val="22"/>
          <w:lang w:val="fr-CH" w:eastAsia="ko-KR"/>
        </w:rPr>
      </w:pPr>
      <w:r w:rsidRPr="009E2EEF">
        <w:rPr>
          <w:rFonts w:eastAsia="Batang"/>
          <w:sz w:val="22"/>
          <w:szCs w:val="22"/>
          <w:lang w:val="fr-CH" w:eastAsia="ko-KR"/>
        </w:rPr>
        <w:t>Le Projet HIMO communal est conforme aux défis et engagements du Madagascar Action Plan (MAP), et s’intègre parfaitement dans le processus de consolidation de la gouvernance responsable par le renforcement des capacités communes et le développement de l’intercommunalité. Le projet a apporté une contribution substantielle en ce qui concerne le renforcement des capacités communales pour la maîtrise d’ouvrage, la gestion budgétaire et la planification communale, ainsi que la fiscalité locale. Les projets d’investissement ont permis de combler le déficit des communes en infrastructures sociales et économiques de base.</w:t>
      </w:r>
    </w:p>
    <w:p w:rsidR="008B4F30" w:rsidRPr="009E2EEF" w:rsidRDefault="008B4F30" w:rsidP="00E07324">
      <w:pPr>
        <w:spacing w:after="60"/>
        <w:jc w:val="both"/>
        <w:rPr>
          <w:rFonts w:eastAsia="Batang"/>
          <w:sz w:val="22"/>
          <w:szCs w:val="22"/>
          <w:lang w:val="fr-CH" w:eastAsia="ko-KR"/>
        </w:rPr>
      </w:pPr>
      <w:r w:rsidRPr="009E2EEF">
        <w:rPr>
          <w:rFonts w:eastAsia="Batang"/>
          <w:sz w:val="22"/>
          <w:szCs w:val="22"/>
          <w:lang w:val="fr-CH" w:eastAsia="ko-KR"/>
        </w:rPr>
        <w:t>La mission constate une bonne organisation du projet et une bonne utilisation des ressources humaines et financières.</w:t>
      </w:r>
    </w:p>
    <w:p w:rsidR="008B4F30" w:rsidRPr="009E2EEF" w:rsidRDefault="008B4F30" w:rsidP="00970DB2">
      <w:pPr>
        <w:spacing w:after="60"/>
        <w:jc w:val="both"/>
        <w:rPr>
          <w:rFonts w:eastAsia="Batang"/>
          <w:sz w:val="22"/>
          <w:szCs w:val="22"/>
          <w:lang w:val="fr-CH" w:eastAsia="ko-KR"/>
        </w:rPr>
      </w:pPr>
      <w:r w:rsidRPr="009E2EEF">
        <w:rPr>
          <w:rFonts w:eastAsia="Batang"/>
          <w:sz w:val="22"/>
          <w:szCs w:val="22"/>
          <w:lang w:val="fr-CH" w:eastAsia="ko-KR"/>
        </w:rPr>
        <w:t>Le projet a aussi répondu au problème d’insécurité alimentaire des populations vulnérables à travers la création d’emplois, dans le cadre de l’approche HIMO du BIT.</w:t>
      </w:r>
    </w:p>
    <w:p w:rsidR="008B4F30" w:rsidRPr="009E2EEF" w:rsidRDefault="008B4F30" w:rsidP="00970DB2">
      <w:pPr>
        <w:spacing w:after="60"/>
        <w:jc w:val="both"/>
        <w:rPr>
          <w:rFonts w:eastAsia="Batang"/>
          <w:sz w:val="22"/>
          <w:szCs w:val="22"/>
          <w:lang w:val="fr-CH" w:eastAsia="ko-KR"/>
        </w:rPr>
      </w:pPr>
      <w:r w:rsidRPr="009E2EEF">
        <w:rPr>
          <w:rFonts w:eastAsia="Batang"/>
          <w:sz w:val="22"/>
          <w:szCs w:val="22"/>
          <w:lang w:val="fr-CH" w:eastAsia="ko-KR"/>
        </w:rPr>
        <w:t>Bien que le projet ait connu un léger retard du à des facteurs externes (élections communal), il apparaît que le projet sera en mesure de mener à terme toutes les activités avant la fin du calendrier initialement prévu à août 2009.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5"/>
      </w:tblGrid>
      <w:tr w:rsidR="008B4F30" w:rsidRPr="009E2EEF">
        <w:trPr>
          <w:trHeight w:val="503"/>
        </w:trPr>
        <w:tc>
          <w:tcPr>
            <w:tcW w:w="4745" w:type="dxa"/>
            <w:shd w:val="clear" w:color="auto" w:fill="81562B"/>
          </w:tcPr>
          <w:p w:rsidR="008B4F30" w:rsidRPr="009E2EEF" w:rsidRDefault="008B4F30" w:rsidP="0029633D">
            <w:pPr>
              <w:spacing w:before="60" w:after="60"/>
              <w:rPr>
                <w:rFonts w:ascii="Arial" w:hAnsi="Arial" w:cs="Arial"/>
                <w:b/>
                <w:color w:val="FFFFFF"/>
                <w:lang w:val="fr-CH"/>
              </w:rPr>
            </w:pPr>
            <w:r w:rsidRPr="009E2EEF">
              <w:rPr>
                <w:b/>
                <w:color w:val="FFFFFF"/>
                <w:sz w:val="22"/>
                <w:szCs w:val="22"/>
                <w:lang w:val="fr-CH"/>
              </w:rPr>
              <w:br w:type="column"/>
            </w:r>
            <w:r w:rsidRPr="009E2EEF">
              <w:rPr>
                <w:rFonts w:ascii="Arial" w:hAnsi="Arial" w:cs="Arial"/>
                <w:b/>
                <w:color w:val="FFFFFF"/>
                <w:lang w:val="fr-CH"/>
              </w:rPr>
              <w:t>Enseignements retenus et Recommendations</w:t>
            </w:r>
          </w:p>
        </w:tc>
      </w:tr>
    </w:tbl>
    <w:p w:rsidR="008B4F30" w:rsidRPr="009E2EEF" w:rsidRDefault="008B4F30" w:rsidP="00970DB2">
      <w:pPr>
        <w:jc w:val="both"/>
        <w:rPr>
          <w:i/>
          <w:sz w:val="22"/>
          <w:szCs w:val="22"/>
          <w:lang w:val="fr-CH"/>
        </w:rPr>
      </w:pPr>
    </w:p>
    <w:p w:rsidR="008B4F30" w:rsidRPr="009E2EEF" w:rsidRDefault="008B4F30" w:rsidP="00970DB2">
      <w:pPr>
        <w:jc w:val="both"/>
        <w:rPr>
          <w:rFonts w:ascii="Arial" w:hAnsi="Arial" w:cs="Arial"/>
          <w:b/>
          <w:sz w:val="22"/>
          <w:szCs w:val="22"/>
          <w:lang w:val="fr-CH"/>
        </w:rPr>
      </w:pPr>
      <w:r w:rsidRPr="009E2EEF">
        <w:rPr>
          <w:rFonts w:ascii="Arial" w:hAnsi="Arial" w:cs="Arial"/>
          <w:b/>
          <w:sz w:val="22"/>
          <w:szCs w:val="22"/>
          <w:lang w:val="fr-CH"/>
        </w:rPr>
        <w:t xml:space="preserve">Enseignements retenus: </w:t>
      </w:r>
    </w:p>
    <w:p w:rsidR="008B4F30" w:rsidRPr="009E2EEF" w:rsidRDefault="008B4F30" w:rsidP="00C53385">
      <w:pPr>
        <w:ind w:left="360"/>
        <w:jc w:val="both"/>
        <w:rPr>
          <w:sz w:val="22"/>
          <w:szCs w:val="22"/>
          <w:lang w:val="fr-CH"/>
        </w:rPr>
      </w:pPr>
    </w:p>
    <w:p w:rsidR="008B4F30" w:rsidRPr="009E2EEF" w:rsidRDefault="008B4F30" w:rsidP="0096345C">
      <w:pPr>
        <w:numPr>
          <w:ilvl w:val="0"/>
          <w:numId w:val="18"/>
        </w:numPr>
        <w:jc w:val="both"/>
        <w:rPr>
          <w:sz w:val="22"/>
          <w:szCs w:val="22"/>
          <w:lang w:val="fr-CH"/>
        </w:rPr>
      </w:pPr>
      <w:r w:rsidRPr="009E2EEF">
        <w:rPr>
          <w:sz w:val="22"/>
          <w:szCs w:val="22"/>
          <w:lang w:val="fr-CH"/>
        </w:rPr>
        <w:t>Les acquis du projet concernant les capacités communales sont tangibles. Mais pour que les communes puissent jouer le rôle de maître d’ouvrage d’une manière adéquate et autonome et assurer la bonne gouvernance par l’amélioration de la fiscalité et la gestion financière, il faut prévoir un processus d’appui sur le long terme. De plus, la tendance au changement du personnel et les processus d’élection affectent la continuité du projet et présentent un défi majeur pour la pérennité des acquis communaux.</w:t>
      </w:r>
    </w:p>
    <w:p w:rsidR="008B4F30" w:rsidRPr="009E2EEF" w:rsidRDefault="008B4F30" w:rsidP="00A02A96">
      <w:pPr>
        <w:ind w:left="360"/>
        <w:jc w:val="both"/>
        <w:rPr>
          <w:sz w:val="22"/>
          <w:szCs w:val="22"/>
          <w:lang w:val="fr-CH"/>
        </w:rPr>
      </w:pPr>
    </w:p>
    <w:p w:rsidR="008B4F30" w:rsidRPr="009E2EEF" w:rsidRDefault="008B4F30" w:rsidP="00BE2F60">
      <w:pPr>
        <w:numPr>
          <w:ilvl w:val="0"/>
          <w:numId w:val="18"/>
        </w:numPr>
        <w:jc w:val="both"/>
        <w:rPr>
          <w:sz w:val="22"/>
          <w:szCs w:val="22"/>
          <w:lang w:val="fr-CH"/>
        </w:rPr>
      </w:pPr>
      <w:r w:rsidRPr="009E2EEF">
        <w:rPr>
          <w:sz w:val="22"/>
          <w:szCs w:val="22"/>
          <w:lang w:val="fr-CH"/>
        </w:rPr>
        <w:t>Grâce à une répartition des responsabilités claires, la synergie entre les 3 principales agences d’exécution a constitué un atout important pour la bonne réalisation des missions spécifiques du projet. Il tient aussi de noter que les capacités et  compétences techniques des agents d’exécution ont largement bénéficié à la bonne exécution du projet mettant en avant l’efficacité des cellules d’appui mise en place durant les projets HIMO précédents.</w:t>
      </w:r>
    </w:p>
    <w:p w:rsidR="008B4F30" w:rsidRPr="009E2EEF" w:rsidRDefault="008B4F30" w:rsidP="00970DB2">
      <w:pPr>
        <w:jc w:val="both"/>
        <w:rPr>
          <w:sz w:val="22"/>
          <w:szCs w:val="22"/>
          <w:lang w:val="fr-CH"/>
        </w:rPr>
      </w:pPr>
    </w:p>
    <w:p w:rsidR="008B4F30" w:rsidRPr="009E2EEF" w:rsidRDefault="008B4F30" w:rsidP="0096345C">
      <w:pPr>
        <w:numPr>
          <w:ilvl w:val="0"/>
          <w:numId w:val="17"/>
        </w:numPr>
        <w:jc w:val="both"/>
        <w:rPr>
          <w:sz w:val="22"/>
          <w:szCs w:val="22"/>
          <w:lang w:val="fr-CH"/>
        </w:rPr>
      </w:pPr>
      <w:r w:rsidRPr="009E2EEF">
        <w:rPr>
          <w:sz w:val="22"/>
          <w:szCs w:val="22"/>
          <w:lang w:val="fr-CH"/>
        </w:rPr>
        <w:t>La répartition des projets d’investissements entre les communes bénéficiaires fait apparaître en rétrospective, un déséquilibre relatif qui concerne non seulement la répartition géographique des projets, mais également la répartition entre les différents types de projets et leurs impacts économiques et sociaux.</w:t>
      </w:r>
    </w:p>
    <w:p w:rsidR="008B4F30" w:rsidRPr="009E2EEF" w:rsidRDefault="008B4F30" w:rsidP="00A02A96">
      <w:pPr>
        <w:ind w:left="360"/>
        <w:jc w:val="both"/>
        <w:rPr>
          <w:sz w:val="22"/>
          <w:szCs w:val="22"/>
          <w:lang w:val="fr-CH"/>
        </w:rPr>
      </w:pPr>
    </w:p>
    <w:p w:rsidR="008B4F30" w:rsidRPr="009E2EEF" w:rsidRDefault="008B4F30" w:rsidP="0096345C">
      <w:pPr>
        <w:numPr>
          <w:ilvl w:val="0"/>
          <w:numId w:val="17"/>
        </w:numPr>
        <w:jc w:val="both"/>
        <w:rPr>
          <w:sz w:val="22"/>
          <w:szCs w:val="22"/>
          <w:lang w:val="fr-CH"/>
        </w:rPr>
      </w:pPr>
      <w:r w:rsidRPr="009E2EEF">
        <w:rPr>
          <w:sz w:val="22"/>
          <w:szCs w:val="22"/>
          <w:lang w:val="fr-CH"/>
        </w:rPr>
        <w:t>Il semble qu’au niveau de plusieurs communes, le processus d’identification et de sélection des projets n’a pas toujours été complété par une démarche participative associant les responsables locaux et leurs populations. De plus quelques communes ne disposaient pas d’un plan communal de développement. En outre, quelques critères d’éligibilité étaient limitatifs et indifférenciés et risquent de ne pas tenir compte des besoins prioritaires des populations.</w:t>
      </w:r>
    </w:p>
    <w:p w:rsidR="008B4F30" w:rsidRPr="009E2EEF" w:rsidRDefault="008B4F30" w:rsidP="00A02A96">
      <w:pPr>
        <w:ind w:left="360"/>
        <w:jc w:val="both"/>
        <w:rPr>
          <w:sz w:val="22"/>
          <w:szCs w:val="22"/>
          <w:lang w:val="fr-CH"/>
        </w:rPr>
      </w:pPr>
    </w:p>
    <w:p w:rsidR="008B4F30" w:rsidRPr="009E2EEF" w:rsidRDefault="008B4F30" w:rsidP="0096345C">
      <w:pPr>
        <w:numPr>
          <w:ilvl w:val="0"/>
          <w:numId w:val="17"/>
        </w:numPr>
        <w:jc w:val="both"/>
        <w:rPr>
          <w:sz w:val="22"/>
          <w:szCs w:val="22"/>
          <w:lang w:val="fr-CH"/>
        </w:rPr>
      </w:pPr>
      <w:r w:rsidRPr="009E2EEF">
        <w:rPr>
          <w:sz w:val="22"/>
          <w:szCs w:val="22"/>
          <w:lang w:val="fr-CH"/>
        </w:rPr>
        <w:t>L’incapacité des communes à budgétiser l’entretien périodique demeure un défi, spécifiquement pour les pistes rurales. De plus la mission a constaté des problèmes d’appropriation des obligations communales de maintenances des infrastructures par les responsables de l’OPCI.</w:t>
      </w:r>
    </w:p>
    <w:p w:rsidR="008B4F30" w:rsidRPr="009E2EEF" w:rsidRDefault="008B4F30" w:rsidP="00F11FBB">
      <w:pPr>
        <w:jc w:val="both"/>
        <w:rPr>
          <w:sz w:val="22"/>
          <w:szCs w:val="22"/>
          <w:lang w:val="fr-CH"/>
        </w:rPr>
      </w:pPr>
    </w:p>
    <w:p w:rsidR="008B4F30" w:rsidRPr="009E2EEF" w:rsidRDefault="008B4F30" w:rsidP="00BE2F60">
      <w:pPr>
        <w:numPr>
          <w:ilvl w:val="0"/>
          <w:numId w:val="19"/>
        </w:numPr>
        <w:jc w:val="both"/>
        <w:rPr>
          <w:sz w:val="22"/>
          <w:szCs w:val="22"/>
          <w:lang w:val="fr-CH"/>
        </w:rPr>
      </w:pPr>
      <w:r w:rsidRPr="009E2EEF">
        <w:rPr>
          <w:sz w:val="22"/>
          <w:szCs w:val="22"/>
          <w:lang w:val="fr-CH"/>
        </w:rPr>
        <w:t xml:space="preserve">Un des constats importants faits par l’équipe d’évaluation est que les indicateurs du projet ne sont pas toujours quantifiables et objectivement mesurable. De plus, il y’a parfois une confusion entre les indicateurs extrants et les indicateurs d’effets résultats. </w:t>
      </w:r>
    </w:p>
    <w:p w:rsidR="008B4F30" w:rsidRPr="009E2EEF" w:rsidRDefault="008B4F30" w:rsidP="000C5061">
      <w:pPr>
        <w:ind w:left="360"/>
        <w:jc w:val="both"/>
        <w:rPr>
          <w:color w:val="FF0000"/>
          <w:sz w:val="22"/>
          <w:szCs w:val="22"/>
          <w:lang w:val="fr-CH"/>
        </w:rPr>
      </w:pPr>
    </w:p>
    <w:p w:rsidR="008B4F30" w:rsidRPr="009E2EEF" w:rsidRDefault="008B4F30" w:rsidP="00970DB2">
      <w:pPr>
        <w:jc w:val="both"/>
        <w:rPr>
          <w:rFonts w:ascii="Arial" w:hAnsi="Arial" w:cs="Arial"/>
          <w:b/>
          <w:sz w:val="22"/>
          <w:szCs w:val="22"/>
          <w:lang w:val="fr-CH"/>
        </w:rPr>
      </w:pPr>
      <w:r w:rsidRPr="009E2EEF">
        <w:rPr>
          <w:rFonts w:ascii="Arial" w:hAnsi="Arial" w:cs="Arial"/>
          <w:b/>
          <w:sz w:val="22"/>
          <w:szCs w:val="22"/>
          <w:lang w:val="fr-CH"/>
        </w:rPr>
        <w:t xml:space="preserve">Recommandations : </w:t>
      </w:r>
    </w:p>
    <w:p w:rsidR="008B4F30" w:rsidRPr="009E2EEF" w:rsidRDefault="008B4F30" w:rsidP="00970DB2">
      <w:pPr>
        <w:jc w:val="both"/>
        <w:rPr>
          <w:b/>
          <w:sz w:val="22"/>
          <w:szCs w:val="22"/>
          <w:lang w:val="fr-CH"/>
        </w:rPr>
      </w:pPr>
    </w:p>
    <w:p w:rsidR="008B4F30" w:rsidRPr="009E2EEF" w:rsidRDefault="008B4F30" w:rsidP="00970DB2">
      <w:pPr>
        <w:numPr>
          <w:ilvl w:val="0"/>
          <w:numId w:val="19"/>
        </w:numPr>
        <w:jc w:val="both"/>
        <w:rPr>
          <w:sz w:val="22"/>
          <w:szCs w:val="22"/>
          <w:lang w:val="fr-CH"/>
        </w:rPr>
      </w:pPr>
      <w:r w:rsidRPr="009E2EEF">
        <w:rPr>
          <w:sz w:val="22"/>
          <w:szCs w:val="22"/>
          <w:lang w:val="fr-CH"/>
        </w:rPr>
        <w:t xml:space="preserve">La nécessité d’avoir une durée de projet d’au moins quatre ans, afin de couvrir plusieurs exercices budgétaires qui permettront de mieux évaluer les acquis dans le contexte du renforcement des capacités communaux. </w:t>
      </w:r>
    </w:p>
    <w:p w:rsidR="008B4F30" w:rsidRPr="009E2EEF" w:rsidRDefault="008B4F30" w:rsidP="00BC7C6B">
      <w:pPr>
        <w:ind w:left="360"/>
        <w:jc w:val="both"/>
        <w:rPr>
          <w:sz w:val="22"/>
          <w:szCs w:val="22"/>
          <w:lang w:val="fr-CH"/>
        </w:rPr>
      </w:pPr>
    </w:p>
    <w:p w:rsidR="008B4F30" w:rsidRPr="009E2EEF" w:rsidRDefault="008B4F30" w:rsidP="003758D2">
      <w:pPr>
        <w:numPr>
          <w:ilvl w:val="0"/>
          <w:numId w:val="19"/>
        </w:numPr>
        <w:jc w:val="both"/>
        <w:rPr>
          <w:sz w:val="22"/>
          <w:szCs w:val="22"/>
          <w:lang w:val="fr-CH"/>
        </w:rPr>
      </w:pPr>
      <w:r w:rsidRPr="009E2EEF">
        <w:rPr>
          <w:sz w:val="22"/>
          <w:szCs w:val="22"/>
          <w:lang w:val="fr-CH"/>
        </w:rPr>
        <w:t>La mise a disposition aux communes et à l’OPCI de toutes les informations et données pertinentes sur les activités. La mise en place d’un service d’informatisation pourrait être envisagé pour mieux centraliser les données et assurer la continuité en cas de changement des équipes, et de faciliter la diffusion de l’information en général.</w:t>
      </w:r>
    </w:p>
    <w:p w:rsidR="008B4F30" w:rsidRPr="009E2EEF" w:rsidRDefault="008B4F30" w:rsidP="00BC7C6B">
      <w:pPr>
        <w:ind w:left="360"/>
        <w:jc w:val="both"/>
        <w:rPr>
          <w:sz w:val="22"/>
          <w:szCs w:val="22"/>
          <w:lang w:val="fr-CH"/>
        </w:rPr>
      </w:pPr>
    </w:p>
    <w:p w:rsidR="008B4F30" w:rsidRPr="009E2EEF" w:rsidRDefault="008B4F30" w:rsidP="00BC7C6B">
      <w:pPr>
        <w:numPr>
          <w:ilvl w:val="0"/>
          <w:numId w:val="19"/>
        </w:numPr>
        <w:jc w:val="both"/>
        <w:rPr>
          <w:sz w:val="22"/>
          <w:szCs w:val="22"/>
          <w:lang w:val="fr-CH"/>
        </w:rPr>
      </w:pPr>
      <w:r w:rsidRPr="009E2EEF">
        <w:rPr>
          <w:sz w:val="22"/>
          <w:szCs w:val="22"/>
          <w:lang w:val="fr-CH"/>
        </w:rPr>
        <w:t>La participation future du ministère de l’intérieur et de la décentralisation au processus d’évaluation de capacité de maîtrise d’ouvrage des communes afin de faciliter la capitalisation des acquis et d’identifier de manière concertée les ajustements requis à l’amélioration de projet similaire.</w:t>
      </w:r>
    </w:p>
    <w:p w:rsidR="008B4F30" w:rsidRPr="009E2EEF" w:rsidRDefault="008B4F30" w:rsidP="00BC7C6B">
      <w:pPr>
        <w:ind w:left="360"/>
        <w:jc w:val="both"/>
        <w:rPr>
          <w:sz w:val="22"/>
          <w:szCs w:val="22"/>
          <w:lang w:val="fr-CH"/>
        </w:rPr>
      </w:pPr>
    </w:p>
    <w:p w:rsidR="008B4F30" w:rsidRPr="009E2EEF" w:rsidRDefault="008B4F30" w:rsidP="00970DB2">
      <w:pPr>
        <w:numPr>
          <w:ilvl w:val="0"/>
          <w:numId w:val="19"/>
        </w:numPr>
        <w:jc w:val="both"/>
        <w:rPr>
          <w:sz w:val="22"/>
          <w:szCs w:val="22"/>
          <w:lang w:val="fr-CH"/>
        </w:rPr>
      </w:pPr>
      <w:r w:rsidRPr="009E2EEF">
        <w:rPr>
          <w:sz w:val="22"/>
          <w:szCs w:val="22"/>
          <w:lang w:val="fr-CH"/>
        </w:rPr>
        <w:t>Il est primordial de trouver les voies et moyens pour responsabiliser davantage les agents des services techniques déconcentrés dans le projet futur, d’identifier aux préalables les faiblesses et d’évaluer leurs compétences et capacités contributives, impliquant un rôle mobilisateur plus marqué de la part du comité d’orientation.</w:t>
      </w:r>
    </w:p>
    <w:p w:rsidR="008B4F30" w:rsidRPr="009E2EEF" w:rsidRDefault="008B4F30" w:rsidP="003758D2">
      <w:pPr>
        <w:ind w:left="360"/>
        <w:jc w:val="both"/>
        <w:rPr>
          <w:sz w:val="22"/>
          <w:szCs w:val="22"/>
          <w:lang w:val="fr-CH"/>
        </w:rPr>
      </w:pPr>
    </w:p>
    <w:p w:rsidR="008B4F30" w:rsidRPr="009E2EEF" w:rsidRDefault="008B4F30" w:rsidP="00D81B35">
      <w:pPr>
        <w:numPr>
          <w:ilvl w:val="0"/>
          <w:numId w:val="19"/>
        </w:numPr>
        <w:jc w:val="both"/>
        <w:rPr>
          <w:sz w:val="22"/>
          <w:szCs w:val="22"/>
          <w:lang w:val="fr-CH"/>
        </w:rPr>
      </w:pPr>
      <w:r w:rsidRPr="009E2EEF">
        <w:rPr>
          <w:sz w:val="22"/>
          <w:szCs w:val="22"/>
          <w:lang w:val="fr-CH"/>
        </w:rPr>
        <w:t>Un nouveau projet futur dans l’avenir devra aussi prendre en considération l’appui à d’autres districts d’Anosy ou d’autres régions dans le pays sur la base des critères pertinents, incluant le taux de pauvreté, le niveau d’enclavement, l’accessibilité aux services sociaux de base, la complémentarité et la synergie future avec le projet HIMO bâtiment, l’existence d’autres projets et/ou programmes similaires et leurs complémentarités.</w:t>
      </w:r>
    </w:p>
    <w:p w:rsidR="008B4F30" w:rsidRPr="009E2EEF" w:rsidRDefault="008B4F30" w:rsidP="000374F3">
      <w:pPr>
        <w:jc w:val="both"/>
        <w:rPr>
          <w:sz w:val="22"/>
          <w:szCs w:val="22"/>
          <w:lang w:val="fr-CH"/>
        </w:rPr>
      </w:pPr>
    </w:p>
    <w:p w:rsidR="008B4F30" w:rsidRPr="009E2EEF" w:rsidRDefault="008B4F30" w:rsidP="00970DB2">
      <w:pPr>
        <w:numPr>
          <w:ilvl w:val="0"/>
          <w:numId w:val="19"/>
        </w:numPr>
        <w:jc w:val="both"/>
        <w:rPr>
          <w:sz w:val="22"/>
          <w:szCs w:val="22"/>
          <w:lang w:val="fr-CH"/>
        </w:rPr>
      </w:pPr>
      <w:r w:rsidRPr="009E2EEF">
        <w:rPr>
          <w:sz w:val="22"/>
          <w:szCs w:val="22"/>
          <w:lang w:val="fr-CH"/>
        </w:rPr>
        <w:t>Le nouveau projet doit accorder une importance particulière à l’élaboration des indicateurs de résultats et d’impact objectivement mesurables et quantifiables pour permettre une évaluation fiable d’évolution et des résultats des activités.</w:t>
      </w:r>
    </w:p>
    <w:p w:rsidR="008B4F30" w:rsidRPr="009E2EEF" w:rsidRDefault="008B4F30" w:rsidP="000374F3">
      <w:pPr>
        <w:jc w:val="both"/>
        <w:rPr>
          <w:sz w:val="22"/>
          <w:szCs w:val="22"/>
          <w:lang w:val="fr-CH"/>
        </w:rPr>
      </w:pPr>
    </w:p>
    <w:p w:rsidR="008B4F30" w:rsidRPr="009E2EEF" w:rsidRDefault="008B4F30" w:rsidP="003758D2">
      <w:pPr>
        <w:numPr>
          <w:ilvl w:val="0"/>
          <w:numId w:val="19"/>
        </w:numPr>
        <w:jc w:val="both"/>
        <w:rPr>
          <w:sz w:val="22"/>
          <w:szCs w:val="22"/>
          <w:lang w:val="fr-CH"/>
        </w:rPr>
      </w:pPr>
      <w:r w:rsidRPr="009E2EEF">
        <w:rPr>
          <w:sz w:val="22"/>
          <w:szCs w:val="22"/>
          <w:lang w:val="fr-CH"/>
        </w:rPr>
        <w:t>A court et à moyen terme, il serait inopportun de procéder à un retrait immédiat de l’appui fourni par le projet, compte tenu notamment des faiblesses organisationnelles de l’OPCI et de la nécessité d’accompagnement ponctuel de la prise en charge directe de la MO par les communes rurales. Il est judicieux que le retrait du projet se fasse de manière progressive ou qu’un nouveau projet prenne le relais.</w:t>
      </w:r>
    </w:p>
    <w:p w:rsidR="008B4F30" w:rsidRPr="009E2EEF" w:rsidRDefault="008B4F30" w:rsidP="00970DB2">
      <w:pPr>
        <w:jc w:val="both"/>
        <w:rPr>
          <w:color w:val="FF6600"/>
          <w:sz w:val="22"/>
          <w:szCs w:val="22"/>
          <w:lang w:val="fr-CH"/>
        </w:rPr>
      </w:pPr>
    </w:p>
    <w:sectPr w:rsidR="008B4F30" w:rsidRPr="009E2EEF" w:rsidSect="00E2097B">
      <w:type w:val="continuous"/>
      <w:pgSz w:w="11906" w:h="16838"/>
      <w:pgMar w:top="1418" w:right="1134" w:bottom="1418" w:left="1134" w:header="709" w:footer="709"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F30" w:rsidRDefault="008B4F30">
      <w:r>
        <w:separator/>
      </w:r>
    </w:p>
  </w:endnote>
  <w:endnote w:type="continuationSeparator" w:id="1">
    <w:p w:rsidR="008B4F30" w:rsidRDefault="008B4F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080E0000" w:usb2="00000010" w:usb3="00000000" w:csb0="00040001" w:csb1="00000000"/>
  </w:font>
  <w:font w:name="Batang">
    <w:altName w:val="©ö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F30" w:rsidRDefault="008B4F30" w:rsidP="00783D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4F30" w:rsidRDefault="008B4F30" w:rsidP="00783DF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F30" w:rsidRDefault="008B4F30" w:rsidP="00783D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4F30" w:rsidRPr="00783DFC" w:rsidRDefault="008B4F30" w:rsidP="00783DFC">
    <w:pPr>
      <w:pStyle w:val="Footer"/>
      <w:ind w:right="360"/>
      <w:jc w:val="center"/>
      <w:rPr>
        <w:b/>
        <w:i/>
      </w:rPr>
    </w:pPr>
    <w:r>
      <w:rPr>
        <w:b/>
        <w:i/>
      </w:rPr>
      <w:t>Résumé d’évaluation du BIT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F30" w:rsidRDefault="008B4F30">
      <w:r>
        <w:separator/>
      </w:r>
    </w:p>
  </w:footnote>
  <w:footnote w:type="continuationSeparator" w:id="1">
    <w:p w:rsidR="008B4F30" w:rsidRDefault="008B4F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90E"/>
    <w:multiLevelType w:val="hybridMultilevel"/>
    <w:tmpl w:val="5234299A"/>
    <w:lvl w:ilvl="0" w:tplc="F21A512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0"/>
        </w:tabs>
        <w:ind w:hanging="360"/>
      </w:pPr>
      <w:rPr>
        <w:rFonts w:ascii="Wingdings" w:hAnsi="Wingdings" w:hint="default"/>
      </w:rPr>
    </w:lvl>
    <w:lvl w:ilvl="3" w:tplc="08090001" w:tentative="1">
      <w:start w:val="1"/>
      <w:numFmt w:val="bullet"/>
      <w:lvlText w:val=""/>
      <w:lvlJc w:val="left"/>
      <w:pPr>
        <w:tabs>
          <w:tab w:val="num" w:pos="720"/>
        </w:tabs>
        <w:ind w:left="720" w:hanging="360"/>
      </w:pPr>
      <w:rPr>
        <w:rFonts w:ascii="Symbol" w:hAnsi="Symbol" w:hint="default"/>
      </w:rPr>
    </w:lvl>
    <w:lvl w:ilvl="4" w:tplc="08090003" w:tentative="1">
      <w:start w:val="1"/>
      <w:numFmt w:val="bullet"/>
      <w:lvlText w:val="o"/>
      <w:lvlJc w:val="left"/>
      <w:pPr>
        <w:tabs>
          <w:tab w:val="num" w:pos="1440"/>
        </w:tabs>
        <w:ind w:left="1440" w:hanging="360"/>
      </w:pPr>
      <w:rPr>
        <w:rFonts w:ascii="Courier New" w:hAnsi="Courier New" w:hint="default"/>
      </w:rPr>
    </w:lvl>
    <w:lvl w:ilvl="5" w:tplc="08090005" w:tentative="1">
      <w:start w:val="1"/>
      <w:numFmt w:val="bullet"/>
      <w:lvlText w:val=""/>
      <w:lvlJc w:val="left"/>
      <w:pPr>
        <w:tabs>
          <w:tab w:val="num" w:pos="2160"/>
        </w:tabs>
        <w:ind w:left="2160" w:hanging="360"/>
      </w:pPr>
      <w:rPr>
        <w:rFonts w:ascii="Wingdings" w:hAnsi="Wingdings" w:hint="default"/>
      </w:rPr>
    </w:lvl>
    <w:lvl w:ilvl="6" w:tplc="08090001" w:tentative="1">
      <w:start w:val="1"/>
      <w:numFmt w:val="bullet"/>
      <w:lvlText w:val=""/>
      <w:lvlJc w:val="left"/>
      <w:pPr>
        <w:tabs>
          <w:tab w:val="num" w:pos="2880"/>
        </w:tabs>
        <w:ind w:left="2880" w:hanging="360"/>
      </w:pPr>
      <w:rPr>
        <w:rFonts w:ascii="Symbol" w:hAnsi="Symbol" w:hint="default"/>
      </w:rPr>
    </w:lvl>
    <w:lvl w:ilvl="7" w:tplc="08090003" w:tentative="1">
      <w:start w:val="1"/>
      <w:numFmt w:val="bullet"/>
      <w:lvlText w:val="o"/>
      <w:lvlJc w:val="left"/>
      <w:pPr>
        <w:tabs>
          <w:tab w:val="num" w:pos="3600"/>
        </w:tabs>
        <w:ind w:left="3600" w:hanging="360"/>
      </w:pPr>
      <w:rPr>
        <w:rFonts w:ascii="Courier New" w:hAnsi="Courier New" w:hint="default"/>
      </w:rPr>
    </w:lvl>
    <w:lvl w:ilvl="8" w:tplc="08090005" w:tentative="1">
      <w:start w:val="1"/>
      <w:numFmt w:val="bullet"/>
      <w:lvlText w:val=""/>
      <w:lvlJc w:val="left"/>
      <w:pPr>
        <w:tabs>
          <w:tab w:val="num" w:pos="4320"/>
        </w:tabs>
        <w:ind w:left="4320" w:hanging="360"/>
      </w:pPr>
      <w:rPr>
        <w:rFonts w:ascii="Wingdings" w:hAnsi="Wingdings" w:hint="default"/>
      </w:rPr>
    </w:lvl>
  </w:abstractNum>
  <w:abstractNum w:abstractNumId="1">
    <w:nsid w:val="03127C04"/>
    <w:multiLevelType w:val="hybridMultilevel"/>
    <w:tmpl w:val="0C3A6D00"/>
    <w:lvl w:ilvl="0" w:tplc="2E1AE47A">
      <w:start w:val="1"/>
      <w:numFmt w:val="lowerLetter"/>
      <w:lvlText w:val="%1)"/>
      <w:lvlJc w:val="left"/>
      <w:pPr>
        <w:tabs>
          <w:tab w:val="num" w:pos="720"/>
        </w:tabs>
        <w:ind w:left="720" w:hanging="360"/>
      </w:pPr>
      <w:rPr>
        <w:rFonts w:cs="Times New Roman"/>
        <w:i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2B285AF2"/>
    <w:multiLevelType w:val="hybridMultilevel"/>
    <w:tmpl w:val="F54896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0A55EAD"/>
    <w:multiLevelType w:val="hybridMultilevel"/>
    <w:tmpl w:val="8A7C5F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4514CD6"/>
    <w:multiLevelType w:val="hybridMultilevel"/>
    <w:tmpl w:val="C4D0ED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7062FEA"/>
    <w:multiLevelType w:val="hybridMultilevel"/>
    <w:tmpl w:val="AA6EAB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8AE397A"/>
    <w:multiLevelType w:val="hybridMultilevel"/>
    <w:tmpl w:val="784C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A553D3"/>
    <w:multiLevelType w:val="hybridMultilevel"/>
    <w:tmpl w:val="1524507A"/>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8">
    <w:nsid w:val="50865DBA"/>
    <w:multiLevelType w:val="hybridMultilevel"/>
    <w:tmpl w:val="2F3A1B1A"/>
    <w:lvl w:ilvl="0" w:tplc="0409000F">
      <w:start w:val="1"/>
      <w:numFmt w:val="decimal"/>
      <w:lvlText w:val="%1."/>
      <w:lvlJc w:val="left"/>
      <w:pPr>
        <w:tabs>
          <w:tab w:val="num" w:pos="720"/>
        </w:tabs>
        <w:ind w:left="720" w:hanging="360"/>
      </w:pPr>
      <w:rPr>
        <w:rFonts w:cs="Times New Roman"/>
      </w:rPr>
    </w:lvl>
    <w:lvl w:ilvl="1" w:tplc="814482E4">
      <w:start w:val="3"/>
      <w:numFmt w:val="upperRoman"/>
      <w:lvlText w:val="%2."/>
      <w:lvlJc w:val="left"/>
      <w:pPr>
        <w:tabs>
          <w:tab w:val="num" w:pos="1800"/>
        </w:tabs>
        <w:ind w:left="1800" w:hanging="720"/>
      </w:pPr>
      <w:rPr>
        <w:rFonts w:cs="Times New Roman" w:hint="default"/>
        <w:b/>
      </w:rPr>
    </w:lvl>
    <w:lvl w:ilvl="2" w:tplc="A0DA72F4">
      <w:start w:val="2"/>
      <w:numFmt w:val="upperLetter"/>
      <w:lvlText w:val="%3."/>
      <w:lvlJc w:val="left"/>
      <w:pPr>
        <w:tabs>
          <w:tab w:val="num" w:pos="2340"/>
        </w:tabs>
        <w:ind w:left="2340" w:hanging="360"/>
      </w:pPr>
      <w:rPr>
        <w:rFonts w:cs="Times New Roman" w:hint="default"/>
        <w:b/>
      </w:rPr>
    </w:lvl>
    <w:lvl w:ilvl="3" w:tplc="C2F4C1B8">
      <w:numFmt w:val="bullet"/>
      <w:lvlText w:val="-"/>
      <w:lvlJc w:val="left"/>
      <w:pPr>
        <w:tabs>
          <w:tab w:val="num" w:pos="2880"/>
        </w:tabs>
        <w:ind w:left="2880" w:hanging="360"/>
      </w:pPr>
      <w:rPr>
        <w:rFonts w:ascii="Times New Roman" w:eastAsia="Times New Roman" w:hAnsi="Times New Roman" w:hint="default"/>
      </w:rPr>
    </w:lvl>
    <w:lvl w:ilvl="4" w:tplc="FD680AAC">
      <w:start w:val="12"/>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3E245A3"/>
    <w:multiLevelType w:val="hybridMultilevel"/>
    <w:tmpl w:val="62F6D39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59572E9D"/>
    <w:multiLevelType w:val="hybridMultilevel"/>
    <w:tmpl w:val="FDEAB4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8457E11"/>
    <w:multiLevelType w:val="hybridMultilevel"/>
    <w:tmpl w:val="461E79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FC10CCF"/>
    <w:multiLevelType w:val="hybridMultilevel"/>
    <w:tmpl w:val="F6CCA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72CA12ED"/>
    <w:multiLevelType w:val="hybridMultilevel"/>
    <w:tmpl w:val="3796BD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89B2031"/>
    <w:multiLevelType w:val="hybridMultilevel"/>
    <w:tmpl w:val="3B2C8A0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7B193C8D"/>
    <w:multiLevelType w:val="hybridMultilevel"/>
    <w:tmpl w:val="D9701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B315149"/>
    <w:multiLevelType w:val="hybridMultilevel"/>
    <w:tmpl w:val="2C26F300"/>
    <w:lvl w:ilvl="0" w:tplc="EFC62138">
      <w:start w:val="1"/>
      <w:numFmt w:val="decimal"/>
      <w:lvlText w:val="%1."/>
      <w:lvlJc w:val="left"/>
      <w:pPr>
        <w:tabs>
          <w:tab w:val="num" w:pos="1413"/>
        </w:tabs>
        <w:ind w:left="1413" w:hanging="705"/>
      </w:pPr>
      <w:rPr>
        <w:rFonts w:cs="Times New Roman" w:hint="default"/>
      </w:rPr>
    </w:lvl>
    <w:lvl w:ilvl="1" w:tplc="C8F4DB62">
      <w:numFmt w:val="none"/>
      <w:lvlText w:val=""/>
      <w:lvlJc w:val="left"/>
      <w:pPr>
        <w:tabs>
          <w:tab w:val="num" w:pos="360"/>
        </w:tabs>
      </w:pPr>
      <w:rPr>
        <w:rFonts w:cs="Times New Roman"/>
      </w:rPr>
    </w:lvl>
    <w:lvl w:ilvl="2" w:tplc="EA92AA8C">
      <w:numFmt w:val="none"/>
      <w:lvlText w:val=""/>
      <w:lvlJc w:val="left"/>
      <w:pPr>
        <w:tabs>
          <w:tab w:val="num" w:pos="360"/>
        </w:tabs>
      </w:pPr>
      <w:rPr>
        <w:rFonts w:cs="Times New Roman"/>
      </w:rPr>
    </w:lvl>
    <w:lvl w:ilvl="3" w:tplc="3FBC8B4C">
      <w:numFmt w:val="none"/>
      <w:lvlText w:val=""/>
      <w:lvlJc w:val="left"/>
      <w:pPr>
        <w:tabs>
          <w:tab w:val="num" w:pos="360"/>
        </w:tabs>
      </w:pPr>
      <w:rPr>
        <w:rFonts w:cs="Times New Roman"/>
      </w:rPr>
    </w:lvl>
    <w:lvl w:ilvl="4" w:tplc="86C0F90A">
      <w:numFmt w:val="none"/>
      <w:lvlText w:val=""/>
      <w:lvlJc w:val="left"/>
      <w:pPr>
        <w:tabs>
          <w:tab w:val="num" w:pos="360"/>
        </w:tabs>
      </w:pPr>
      <w:rPr>
        <w:rFonts w:cs="Times New Roman"/>
      </w:rPr>
    </w:lvl>
    <w:lvl w:ilvl="5" w:tplc="AC2EEE0E">
      <w:numFmt w:val="none"/>
      <w:lvlText w:val=""/>
      <w:lvlJc w:val="left"/>
      <w:pPr>
        <w:tabs>
          <w:tab w:val="num" w:pos="360"/>
        </w:tabs>
      </w:pPr>
      <w:rPr>
        <w:rFonts w:cs="Times New Roman"/>
      </w:rPr>
    </w:lvl>
    <w:lvl w:ilvl="6" w:tplc="55BA3D60">
      <w:numFmt w:val="none"/>
      <w:lvlText w:val=""/>
      <w:lvlJc w:val="left"/>
      <w:pPr>
        <w:tabs>
          <w:tab w:val="num" w:pos="360"/>
        </w:tabs>
      </w:pPr>
      <w:rPr>
        <w:rFonts w:cs="Times New Roman"/>
      </w:rPr>
    </w:lvl>
    <w:lvl w:ilvl="7" w:tplc="FC1EB7B2">
      <w:numFmt w:val="none"/>
      <w:lvlText w:val=""/>
      <w:lvlJc w:val="left"/>
      <w:pPr>
        <w:tabs>
          <w:tab w:val="num" w:pos="360"/>
        </w:tabs>
      </w:pPr>
      <w:rPr>
        <w:rFonts w:cs="Times New Roman"/>
      </w:rPr>
    </w:lvl>
    <w:lvl w:ilvl="8" w:tplc="BAA046BC">
      <w:numFmt w:val="none"/>
      <w:lvlText w:val=""/>
      <w:lvlJc w:val="left"/>
      <w:pPr>
        <w:tabs>
          <w:tab w:val="num" w:pos="360"/>
        </w:tabs>
      </w:pPr>
      <w:rPr>
        <w:rFonts w:cs="Times New Roman"/>
      </w:rPr>
    </w:lvl>
  </w:abstractNum>
  <w:abstractNum w:abstractNumId="17">
    <w:nsid w:val="7B315F1F"/>
    <w:multiLevelType w:val="hybridMultilevel"/>
    <w:tmpl w:val="DE5C078A"/>
    <w:lvl w:ilvl="0" w:tplc="FCA62F4E">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7EBA09F9"/>
    <w:multiLevelType w:val="hybridMultilevel"/>
    <w:tmpl w:val="AB2060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7"/>
  </w:num>
  <w:num w:numId="2">
    <w:abstractNumId w:val="0"/>
  </w:num>
  <w:num w:numId="3">
    <w:abstractNumId w:val="17"/>
  </w:num>
  <w:num w:numId="4">
    <w:abstractNumId w:val="9"/>
  </w:num>
  <w:num w:numId="5">
    <w:abstractNumId w:val="8"/>
  </w:num>
  <w:num w:numId="6">
    <w:abstractNumId w:val="1"/>
  </w:num>
  <w:num w:numId="7">
    <w:abstractNumId w:val="18"/>
  </w:num>
  <w:num w:numId="8">
    <w:abstractNumId w:val="2"/>
  </w:num>
  <w:num w:numId="9">
    <w:abstractNumId w:val="16"/>
  </w:num>
  <w:num w:numId="10">
    <w:abstractNumId w:val="14"/>
  </w:num>
  <w:num w:numId="11">
    <w:abstractNumId w:val="5"/>
  </w:num>
  <w:num w:numId="12">
    <w:abstractNumId w:val="3"/>
  </w:num>
  <w:num w:numId="13">
    <w:abstractNumId w:val="13"/>
  </w:num>
  <w:num w:numId="14">
    <w:abstractNumId w:val="12"/>
  </w:num>
  <w:num w:numId="15">
    <w:abstractNumId w:val="6"/>
  </w:num>
  <w:num w:numId="16">
    <w:abstractNumId w:val="11"/>
  </w:num>
  <w:num w:numId="17">
    <w:abstractNumId w:val="15"/>
  </w:num>
  <w:num w:numId="18">
    <w:abstractNumId w:val="4"/>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3D08"/>
    <w:rsid w:val="000374F3"/>
    <w:rsid w:val="0005163A"/>
    <w:rsid w:val="000535FC"/>
    <w:rsid w:val="00060683"/>
    <w:rsid w:val="000608E2"/>
    <w:rsid w:val="00073ECC"/>
    <w:rsid w:val="000853B2"/>
    <w:rsid w:val="0008727A"/>
    <w:rsid w:val="00097161"/>
    <w:rsid w:val="000A3D08"/>
    <w:rsid w:val="000A4FFA"/>
    <w:rsid w:val="000B6938"/>
    <w:rsid w:val="000B721E"/>
    <w:rsid w:val="000C2200"/>
    <w:rsid w:val="000C399A"/>
    <w:rsid w:val="000C5061"/>
    <w:rsid w:val="000C66F1"/>
    <w:rsid w:val="000E3EC3"/>
    <w:rsid w:val="000F6887"/>
    <w:rsid w:val="0010303C"/>
    <w:rsid w:val="00103C58"/>
    <w:rsid w:val="001161A7"/>
    <w:rsid w:val="00125979"/>
    <w:rsid w:val="00147175"/>
    <w:rsid w:val="00150DEA"/>
    <w:rsid w:val="00153290"/>
    <w:rsid w:val="00162750"/>
    <w:rsid w:val="001A1E98"/>
    <w:rsid w:val="001C4BBE"/>
    <w:rsid w:val="001C54AF"/>
    <w:rsid w:val="001D75F9"/>
    <w:rsid w:val="001E0F20"/>
    <w:rsid w:val="001E1ABD"/>
    <w:rsid w:val="001F0E3B"/>
    <w:rsid w:val="00203077"/>
    <w:rsid w:val="002061C2"/>
    <w:rsid w:val="00210F23"/>
    <w:rsid w:val="002141BF"/>
    <w:rsid w:val="0022794B"/>
    <w:rsid w:val="00227C3D"/>
    <w:rsid w:val="00227D8D"/>
    <w:rsid w:val="00245EFB"/>
    <w:rsid w:val="00262169"/>
    <w:rsid w:val="00281605"/>
    <w:rsid w:val="00283E76"/>
    <w:rsid w:val="00284FDB"/>
    <w:rsid w:val="00292F6B"/>
    <w:rsid w:val="00295BD7"/>
    <w:rsid w:val="00296286"/>
    <w:rsid w:val="0029633D"/>
    <w:rsid w:val="002A49FB"/>
    <w:rsid w:val="002C2072"/>
    <w:rsid w:val="002D1C8A"/>
    <w:rsid w:val="002F1EBA"/>
    <w:rsid w:val="0030744B"/>
    <w:rsid w:val="00325806"/>
    <w:rsid w:val="00334F36"/>
    <w:rsid w:val="00352EEB"/>
    <w:rsid w:val="0035710E"/>
    <w:rsid w:val="003747EB"/>
    <w:rsid w:val="00374B86"/>
    <w:rsid w:val="003758D2"/>
    <w:rsid w:val="0038255A"/>
    <w:rsid w:val="00384760"/>
    <w:rsid w:val="00385920"/>
    <w:rsid w:val="0039308F"/>
    <w:rsid w:val="00393ED3"/>
    <w:rsid w:val="00396520"/>
    <w:rsid w:val="003A71E0"/>
    <w:rsid w:val="003B3CDB"/>
    <w:rsid w:val="003C1572"/>
    <w:rsid w:val="003F48A1"/>
    <w:rsid w:val="00405ED0"/>
    <w:rsid w:val="004301DF"/>
    <w:rsid w:val="004351C1"/>
    <w:rsid w:val="00446996"/>
    <w:rsid w:val="0045098C"/>
    <w:rsid w:val="00450AD7"/>
    <w:rsid w:val="004541ED"/>
    <w:rsid w:val="00461B56"/>
    <w:rsid w:val="00477D4E"/>
    <w:rsid w:val="00480A0C"/>
    <w:rsid w:val="00482058"/>
    <w:rsid w:val="004A59B9"/>
    <w:rsid w:val="004B2F69"/>
    <w:rsid w:val="004C41F9"/>
    <w:rsid w:val="004D5D21"/>
    <w:rsid w:val="00500FEC"/>
    <w:rsid w:val="00512CE0"/>
    <w:rsid w:val="00513CBB"/>
    <w:rsid w:val="00542AC2"/>
    <w:rsid w:val="0054453D"/>
    <w:rsid w:val="00556C0F"/>
    <w:rsid w:val="00562705"/>
    <w:rsid w:val="005656D0"/>
    <w:rsid w:val="005800C4"/>
    <w:rsid w:val="0058206A"/>
    <w:rsid w:val="00586443"/>
    <w:rsid w:val="005A7241"/>
    <w:rsid w:val="005B32C6"/>
    <w:rsid w:val="005B3725"/>
    <w:rsid w:val="005B5FFA"/>
    <w:rsid w:val="005B7C9B"/>
    <w:rsid w:val="005C21FA"/>
    <w:rsid w:val="005C48BD"/>
    <w:rsid w:val="005C5ED4"/>
    <w:rsid w:val="005C716A"/>
    <w:rsid w:val="005D51AE"/>
    <w:rsid w:val="005F1005"/>
    <w:rsid w:val="006050DE"/>
    <w:rsid w:val="00615549"/>
    <w:rsid w:val="00620C85"/>
    <w:rsid w:val="00625B8F"/>
    <w:rsid w:val="00627673"/>
    <w:rsid w:val="00642609"/>
    <w:rsid w:val="006A1D16"/>
    <w:rsid w:val="006A30B2"/>
    <w:rsid w:val="006B57D8"/>
    <w:rsid w:val="006D662F"/>
    <w:rsid w:val="006E44BA"/>
    <w:rsid w:val="006F635E"/>
    <w:rsid w:val="007100C1"/>
    <w:rsid w:val="00711554"/>
    <w:rsid w:val="00730C80"/>
    <w:rsid w:val="00740814"/>
    <w:rsid w:val="00747AD8"/>
    <w:rsid w:val="00760331"/>
    <w:rsid w:val="00766C4D"/>
    <w:rsid w:val="00767205"/>
    <w:rsid w:val="00783DFC"/>
    <w:rsid w:val="007A2AED"/>
    <w:rsid w:val="007A3B33"/>
    <w:rsid w:val="007B7BC4"/>
    <w:rsid w:val="007C1B4F"/>
    <w:rsid w:val="007E6A5D"/>
    <w:rsid w:val="007E6EDB"/>
    <w:rsid w:val="007F5C34"/>
    <w:rsid w:val="007F6451"/>
    <w:rsid w:val="007F77BC"/>
    <w:rsid w:val="008006C9"/>
    <w:rsid w:val="00812AED"/>
    <w:rsid w:val="00820DD5"/>
    <w:rsid w:val="008309DB"/>
    <w:rsid w:val="00830E8D"/>
    <w:rsid w:val="00833E33"/>
    <w:rsid w:val="00856E67"/>
    <w:rsid w:val="00870A83"/>
    <w:rsid w:val="00870ECC"/>
    <w:rsid w:val="00882B21"/>
    <w:rsid w:val="00883F07"/>
    <w:rsid w:val="00890CD9"/>
    <w:rsid w:val="008A0D6F"/>
    <w:rsid w:val="008A31BD"/>
    <w:rsid w:val="008B40C6"/>
    <w:rsid w:val="008B4F30"/>
    <w:rsid w:val="008B5C1E"/>
    <w:rsid w:val="008C719A"/>
    <w:rsid w:val="008E510B"/>
    <w:rsid w:val="00901B66"/>
    <w:rsid w:val="00905C3B"/>
    <w:rsid w:val="009146CB"/>
    <w:rsid w:val="00922274"/>
    <w:rsid w:val="00935E1B"/>
    <w:rsid w:val="0095132E"/>
    <w:rsid w:val="00955312"/>
    <w:rsid w:val="00962579"/>
    <w:rsid w:val="0096345C"/>
    <w:rsid w:val="00964665"/>
    <w:rsid w:val="00970DB2"/>
    <w:rsid w:val="00992AF4"/>
    <w:rsid w:val="0099634C"/>
    <w:rsid w:val="009E2EEF"/>
    <w:rsid w:val="009F37A2"/>
    <w:rsid w:val="009F75A6"/>
    <w:rsid w:val="00A02A96"/>
    <w:rsid w:val="00A02CDE"/>
    <w:rsid w:val="00A03600"/>
    <w:rsid w:val="00A147A6"/>
    <w:rsid w:val="00A17860"/>
    <w:rsid w:val="00A25DB0"/>
    <w:rsid w:val="00A26B74"/>
    <w:rsid w:val="00A31B65"/>
    <w:rsid w:val="00A376E6"/>
    <w:rsid w:val="00A40345"/>
    <w:rsid w:val="00A46061"/>
    <w:rsid w:val="00A479C1"/>
    <w:rsid w:val="00A47E69"/>
    <w:rsid w:val="00A6243D"/>
    <w:rsid w:val="00A77DC8"/>
    <w:rsid w:val="00A83381"/>
    <w:rsid w:val="00A83521"/>
    <w:rsid w:val="00A857ED"/>
    <w:rsid w:val="00AA792F"/>
    <w:rsid w:val="00AA7EC1"/>
    <w:rsid w:val="00AD4622"/>
    <w:rsid w:val="00AE30C8"/>
    <w:rsid w:val="00AF35E4"/>
    <w:rsid w:val="00AF67BE"/>
    <w:rsid w:val="00B00F78"/>
    <w:rsid w:val="00B14D21"/>
    <w:rsid w:val="00B2095F"/>
    <w:rsid w:val="00B6556D"/>
    <w:rsid w:val="00B81A53"/>
    <w:rsid w:val="00B91194"/>
    <w:rsid w:val="00B92E82"/>
    <w:rsid w:val="00B94611"/>
    <w:rsid w:val="00BA28CC"/>
    <w:rsid w:val="00BA6F25"/>
    <w:rsid w:val="00BC7C6B"/>
    <w:rsid w:val="00BE0E88"/>
    <w:rsid w:val="00BE1068"/>
    <w:rsid w:val="00BE2F60"/>
    <w:rsid w:val="00BF1C4C"/>
    <w:rsid w:val="00C03B76"/>
    <w:rsid w:val="00C0408F"/>
    <w:rsid w:val="00C161A5"/>
    <w:rsid w:val="00C16B0B"/>
    <w:rsid w:val="00C50548"/>
    <w:rsid w:val="00C53385"/>
    <w:rsid w:val="00C602F9"/>
    <w:rsid w:val="00C603E2"/>
    <w:rsid w:val="00C63485"/>
    <w:rsid w:val="00C63EFB"/>
    <w:rsid w:val="00C65DE3"/>
    <w:rsid w:val="00C67CEF"/>
    <w:rsid w:val="00C8411E"/>
    <w:rsid w:val="00C85EB3"/>
    <w:rsid w:val="00C861A0"/>
    <w:rsid w:val="00CA6367"/>
    <w:rsid w:val="00CB5D7F"/>
    <w:rsid w:val="00CB7073"/>
    <w:rsid w:val="00CC114A"/>
    <w:rsid w:val="00CC4133"/>
    <w:rsid w:val="00CD0157"/>
    <w:rsid w:val="00CD0A31"/>
    <w:rsid w:val="00CD327E"/>
    <w:rsid w:val="00CF073B"/>
    <w:rsid w:val="00CF1EC0"/>
    <w:rsid w:val="00D06768"/>
    <w:rsid w:val="00D269A3"/>
    <w:rsid w:val="00D425F3"/>
    <w:rsid w:val="00D5055A"/>
    <w:rsid w:val="00D6418F"/>
    <w:rsid w:val="00D64962"/>
    <w:rsid w:val="00D66DAD"/>
    <w:rsid w:val="00D67B61"/>
    <w:rsid w:val="00D81B35"/>
    <w:rsid w:val="00D91CFA"/>
    <w:rsid w:val="00DA5452"/>
    <w:rsid w:val="00DA6DDC"/>
    <w:rsid w:val="00DC1C77"/>
    <w:rsid w:val="00DD44CE"/>
    <w:rsid w:val="00E05C7D"/>
    <w:rsid w:val="00E07324"/>
    <w:rsid w:val="00E2097B"/>
    <w:rsid w:val="00E27CE9"/>
    <w:rsid w:val="00E37D2C"/>
    <w:rsid w:val="00E50202"/>
    <w:rsid w:val="00E5305B"/>
    <w:rsid w:val="00E54128"/>
    <w:rsid w:val="00E668C4"/>
    <w:rsid w:val="00E71203"/>
    <w:rsid w:val="00E81887"/>
    <w:rsid w:val="00E8562A"/>
    <w:rsid w:val="00E968D3"/>
    <w:rsid w:val="00E96AE4"/>
    <w:rsid w:val="00ED3AC9"/>
    <w:rsid w:val="00ED7A98"/>
    <w:rsid w:val="00EF65EC"/>
    <w:rsid w:val="00F05B04"/>
    <w:rsid w:val="00F11FBB"/>
    <w:rsid w:val="00F2168F"/>
    <w:rsid w:val="00F27283"/>
    <w:rsid w:val="00F52C53"/>
    <w:rsid w:val="00F63B0E"/>
    <w:rsid w:val="00F70275"/>
    <w:rsid w:val="00F741B4"/>
    <w:rsid w:val="00F75240"/>
    <w:rsid w:val="00F85963"/>
    <w:rsid w:val="00F95F72"/>
    <w:rsid w:val="00F967D1"/>
    <w:rsid w:val="00FA2DC3"/>
    <w:rsid w:val="00FB72C1"/>
    <w:rsid w:val="00FD1FF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DFC"/>
    <w:rPr>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C399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384760"/>
    <w:rPr>
      <w:rFonts w:eastAsia="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05B04"/>
    <w:pPr>
      <w:tabs>
        <w:tab w:val="center" w:pos="4153"/>
        <w:tab w:val="right" w:pos="8306"/>
      </w:tabs>
    </w:pPr>
  </w:style>
  <w:style w:type="character" w:customStyle="1" w:styleId="HeaderChar">
    <w:name w:val="Header Char"/>
    <w:basedOn w:val="DefaultParagraphFont"/>
    <w:link w:val="Header"/>
    <w:uiPriority w:val="99"/>
    <w:semiHidden/>
    <w:rsid w:val="00390216"/>
    <w:rPr>
      <w:sz w:val="24"/>
      <w:szCs w:val="24"/>
      <w:lang w:eastAsia="zh-CN"/>
    </w:rPr>
  </w:style>
  <w:style w:type="paragraph" w:styleId="Footer">
    <w:name w:val="footer"/>
    <w:basedOn w:val="Normal"/>
    <w:link w:val="FooterChar"/>
    <w:uiPriority w:val="99"/>
    <w:rsid w:val="00F05B04"/>
    <w:pPr>
      <w:tabs>
        <w:tab w:val="center" w:pos="4153"/>
        <w:tab w:val="right" w:pos="8306"/>
      </w:tabs>
    </w:pPr>
  </w:style>
  <w:style w:type="character" w:customStyle="1" w:styleId="FooterChar">
    <w:name w:val="Footer Char"/>
    <w:basedOn w:val="DefaultParagraphFont"/>
    <w:link w:val="Footer"/>
    <w:uiPriority w:val="99"/>
    <w:semiHidden/>
    <w:rsid w:val="00390216"/>
    <w:rPr>
      <w:sz w:val="24"/>
      <w:szCs w:val="24"/>
      <w:lang w:eastAsia="zh-CN"/>
    </w:rPr>
  </w:style>
  <w:style w:type="character" w:styleId="PageNumber">
    <w:name w:val="page number"/>
    <w:basedOn w:val="DefaultParagraphFont"/>
    <w:uiPriority w:val="99"/>
    <w:rsid w:val="00783DFC"/>
    <w:rPr>
      <w:rFonts w:cs="Times New Roman"/>
    </w:rPr>
  </w:style>
  <w:style w:type="paragraph" w:styleId="BodyText">
    <w:name w:val="Body Text"/>
    <w:basedOn w:val="Normal"/>
    <w:link w:val="BodyTextChar"/>
    <w:uiPriority w:val="99"/>
    <w:rsid w:val="00F967D1"/>
    <w:pPr>
      <w:spacing w:after="120"/>
    </w:pPr>
    <w:rPr>
      <w:rFonts w:eastAsia="Batang"/>
      <w:lang w:val="en-US" w:eastAsia="ko-KR"/>
    </w:rPr>
  </w:style>
  <w:style w:type="character" w:customStyle="1" w:styleId="BodyTextChar">
    <w:name w:val="Body Text Char"/>
    <w:basedOn w:val="DefaultParagraphFont"/>
    <w:link w:val="BodyText"/>
    <w:uiPriority w:val="99"/>
    <w:semiHidden/>
    <w:rsid w:val="00390216"/>
    <w:rPr>
      <w:sz w:val="24"/>
      <w:szCs w:val="24"/>
      <w:lang w:eastAsia="zh-CN"/>
    </w:rPr>
  </w:style>
  <w:style w:type="paragraph" w:styleId="Title">
    <w:name w:val="Title"/>
    <w:basedOn w:val="Normal"/>
    <w:link w:val="TitleChar"/>
    <w:uiPriority w:val="99"/>
    <w:qFormat/>
    <w:rsid w:val="00B92E82"/>
    <w:pPr>
      <w:jc w:val="center"/>
    </w:pPr>
    <w:rPr>
      <w:b/>
      <w:bCs/>
      <w:lang w:val="fr-CH" w:eastAsia="en-US"/>
    </w:rPr>
  </w:style>
  <w:style w:type="character" w:customStyle="1" w:styleId="TitleChar">
    <w:name w:val="Title Char"/>
    <w:basedOn w:val="DefaultParagraphFont"/>
    <w:link w:val="Title"/>
    <w:uiPriority w:val="10"/>
    <w:rsid w:val="00390216"/>
    <w:rPr>
      <w:rFonts w:asciiTheme="majorHAnsi" w:eastAsiaTheme="majorEastAsia" w:hAnsiTheme="majorHAnsi" w:cstheme="majorBidi"/>
      <w:b/>
      <w:bCs/>
      <w:kern w:val="28"/>
      <w:sz w:val="32"/>
      <w:szCs w:val="32"/>
      <w:lang w:eastAsia="zh-CN"/>
    </w:rPr>
  </w:style>
  <w:style w:type="paragraph" w:styleId="FootnoteText">
    <w:name w:val="footnote text"/>
    <w:basedOn w:val="Normal"/>
    <w:link w:val="FootnoteTextChar"/>
    <w:uiPriority w:val="99"/>
    <w:semiHidden/>
    <w:rsid w:val="000E3EC3"/>
    <w:rPr>
      <w:sz w:val="20"/>
      <w:szCs w:val="20"/>
      <w:lang w:val="en-US" w:eastAsia="en-US"/>
    </w:rPr>
  </w:style>
  <w:style w:type="character" w:customStyle="1" w:styleId="FootnoteTextChar">
    <w:name w:val="Footnote Text Char"/>
    <w:basedOn w:val="DefaultParagraphFont"/>
    <w:link w:val="FootnoteText"/>
    <w:uiPriority w:val="99"/>
    <w:semiHidden/>
    <w:rsid w:val="00390216"/>
    <w:rPr>
      <w:sz w:val="20"/>
      <w:szCs w:val="20"/>
      <w:lang w:eastAsia="zh-CN"/>
    </w:rPr>
  </w:style>
  <w:style w:type="character" w:styleId="FootnoteReference">
    <w:name w:val="footnote reference"/>
    <w:basedOn w:val="DefaultParagraphFont"/>
    <w:uiPriority w:val="99"/>
    <w:semiHidden/>
    <w:rsid w:val="000E3EC3"/>
    <w:rPr>
      <w:rFonts w:cs="Times New Roman"/>
      <w:vertAlign w:val="superscript"/>
    </w:rPr>
  </w:style>
  <w:style w:type="paragraph" w:styleId="List2">
    <w:name w:val="List 2"/>
    <w:basedOn w:val="Normal"/>
    <w:uiPriority w:val="99"/>
    <w:rsid w:val="00586443"/>
    <w:pPr>
      <w:ind w:left="720" w:hanging="360"/>
    </w:pPr>
    <w:rPr>
      <w:lang w:val="en-US" w:eastAsia="en-US"/>
    </w:rPr>
  </w:style>
  <w:style w:type="paragraph" w:styleId="CommentText">
    <w:name w:val="annotation text"/>
    <w:basedOn w:val="Normal"/>
    <w:link w:val="CommentTextChar"/>
    <w:uiPriority w:val="99"/>
    <w:semiHidden/>
    <w:rsid w:val="00D64962"/>
    <w:rPr>
      <w:sz w:val="20"/>
      <w:szCs w:val="20"/>
      <w:lang w:eastAsia="en-US"/>
    </w:rPr>
  </w:style>
  <w:style w:type="character" w:customStyle="1" w:styleId="CommentTextChar">
    <w:name w:val="Comment Text Char"/>
    <w:basedOn w:val="DefaultParagraphFont"/>
    <w:link w:val="CommentText"/>
    <w:uiPriority w:val="99"/>
    <w:semiHidden/>
    <w:rsid w:val="00390216"/>
    <w:rPr>
      <w:sz w:val="20"/>
      <w:szCs w:val="20"/>
      <w:lang w:eastAsia="zh-CN"/>
    </w:rPr>
  </w:style>
  <w:style w:type="paragraph" w:styleId="NormalWeb">
    <w:name w:val="Normal (Web)"/>
    <w:basedOn w:val="Normal"/>
    <w:uiPriority w:val="99"/>
    <w:rsid w:val="00F85963"/>
    <w:pPr>
      <w:spacing w:after="312"/>
    </w:pPr>
    <w:rPr>
      <w:lang w:eastAsia="en-GB"/>
    </w:rPr>
  </w:style>
  <w:style w:type="paragraph" w:styleId="BalloonText">
    <w:name w:val="Balloon Text"/>
    <w:basedOn w:val="Normal"/>
    <w:link w:val="BalloonTextChar"/>
    <w:uiPriority w:val="99"/>
    <w:semiHidden/>
    <w:rsid w:val="00922274"/>
    <w:rPr>
      <w:rFonts w:ascii="Tahoma" w:hAnsi="Tahoma" w:cs="Tahoma"/>
      <w:sz w:val="16"/>
      <w:szCs w:val="16"/>
    </w:rPr>
  </w:style>
  <w:style w:type="character" w:customStyle="1" w:styleId="BalloonTextChar">
    <w:name w:val="Balloon Text Char"/>
    <w:basedOn w:val="DefaultParagraphFont"/>
    <w:link w:val="BalloonText"/>
    <w:uiPriority w:val="99"/>
    <w:semiHidden/>
    <w:rsid w:val="00390216"/>
    <w:rPr>
      <w:sz w:val="0"/>
      <w:szCs w:val="0"/>
      <w:lang w:eastAsia="zh-CN"/>
    </w:rPr>
  </w:style>
  <w:style w:type="paragraph" w:styleId="ListParagraph">
    <w:name w:val="List Paragraph"/>
    <w:basedOn w:val="Normal"/>
    <w:uiPriority w:val="99"/>
    <w:qFormat/>
    <w:rsid w:val="00E07324"/>
    <w:pPr>
      <w:ind w:left="720"/>
    </w:pPr>
  </w:style>
  <w:style w:type="character" w:styleId="Hyperlink">
    <w:name w:val="Hyperlink"/>
    <w:basedOn w:val="DefaultParagraphFont"/>
    <w:uiPriority w:val="99"/>
    <w:rsid w:val="004A59B9"/>
    <w:rPr>
      <w:rFonts w:cs="Times New Roman"/>
      <w:color w:val="0033CC"/>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Pages>
  <Words>1526</Words>
  <Characters>8700</Characters>
  <Application>Microsoft Office Outlook</Application>
  <DocSecurity>0</DocSecurity>
  <Lines>0</Lines>
  <Paragraphs>0</Paragraphs>
  <ScaleCrop>false</ScaleCrop>
  <Company>ILO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dc:title>
  <dc:subject/>
  <dc:creator>ILO</dc:creator>
  <cp:keywords/>
  <dc:description/>
  <cp:lastModifiedBy>neubecker</cp:lastModifiedBy>
  <cp:revision>4</cp:revision>
  <cp:lastPrinted>2009-04-07T07:40:00Z</cp:lastPrinted>
  <dcterms:created xsi:type="dcterms:W3CDTF">2009-05-19T13:40:00Z</dcterms:created>
  <dcterms:modified xsi:type="dcterms:W3CDTF">2009-06-30T16:16:00Z</dcterms:modified>
</cp:coreProperties>
</file>